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jc w:val="center"/>
        <w:rPr>
          <w:rFonts w:cs="Times New Roman" w:asciiTheme="minorEastAsia" w:hAnsiTheme="minorEastAsia"/>
          <w:b/>
          <w:sz w:val="36"/>
          <w:szCs w:val="36"/>
        </w:rPr>
      </w:pPr>
      <w:r>
        <w:rPr>
          <w:rFonts w:hint="eastAsia" w:cs="Times New Roman" w:asciiTheme="minorEastAsia" w:hAnsiTheme="minorEastAsia"/>
          <w:b/>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cs="Times New Roman" w:asciiTheme="minorEastAsia" w:hAnsiTheme="minorEastAsia"/>
          <w:b/>
          <w:sz w:val="36"/>
          <w:szCs w:val="36"/>
        </w:rPr>
        <w:instrText xml:space="preserve">ADDIN CNKISM.UserStyle</w:instrText>
      </w:r>
      <w:r>
        <w:rPr>
          <w:rFonts w:cs="Times New Roman" w:asciiTheme="minorEastAsia" w:hAnsiTheme="minorEastAsia"/>
          <w:b/>
          <w:sz w:val="36"/>
          <w:szCs w:val="36"/>
        </w:rPr>
        <w:fldChar w:fldCharType="separate"/>
      </w:r>
      <w:r>
        <w:rPr>
          <w:rFonts w:hint="eastAsia" w:cs="Times New Roman" w:asciiTheme="minorEastAsia" w:hAnsiTheme="minorEastAsia"/>
          <w:b/>
          <w:sz w:val="36"/>
          <w:szCs w:val="36"/>
        </w:rPr>
        <w:fldChar w:fldCharType="end"/>
      </w:r>
      <w:r>
        <w:rPr>
          <w:rFonts w:hint="eastAsia" w:cs="Times New Roman" w:asciiTheme="minorEastAsia" w:hAnsiTheme="minorEastAsia"/>
          <w:b/>
          <w:sz w:val="36"/>
          <w:szCs w:val="36"/>
        </w:rPr>
        <w:t>《滁州市体育事业“十四五”发展规划》论证稿</w:t>
      </w:r>
    </w:p>
    <w:sdt>
      <w:sdtPr>
        <w:rPr>
          <w:rFonts w:hint="eastAsia" w:ascii="黑体" w:hAnsi="黑体" w:eastAsia="黑体" w:cs="黑体"/>
          <w:sz w:val="32"/>
          <w:szCs w:val="40"/>
        </w:rPr>
        <w:id w:val="147472830"/>
        <w15:color w:val="DBDBDB"/>
        <w:docPartObj>
          <w:docPartGallery w:val="Table of Contents"/>
          <w:docPartUnique/>
        </w:docPartObj>
      </w:sdtPr>
      <w:sdtEndPr>
        <w:rPr>
          <w:rFonts w:hint="eastAsia" w:ascii="宋体" w:hAnsi="宋体" w:eastAsia="宋体" w:cs="宋体"/>
          <w:sz w:val="21"/>
          <w:szCs w:val="28"/>
          <w:shd w:val="clear" w:color="auto" w:fill="FFFFFF"/>
        </w:rPr>
      </w:sdtEndPr>
      <w:sdtContent>
        <w:p>
          <w:pPr>
            <w:jc w:val="center"/>
            <w:rPr>
              <w:rFonts w:ascii="黑体" w:hAnsi="黑体" w:eastAsia="黑体" w:cs="黑体"/>
              <w:sz w:val="32"/>
              <w:szCs w:val="40"/>
            </w:rPr>
          </w:pPr>
          <w:r>
            <w:rPr>
              <w:rFonts w:hint="eastAsia" w:ascii="黑体" w:hAnsi="黑体" w:eastAsia="黑体" w:cs="黑体"/>
              <w:sz w:val="32"/>
              <w:szCs w:val="40"/>
            </w:rPr>
            <w:t>目  录</w:t>
          </w:r>
        </w:p>
        <w:p>
          <w:pPr>
            <w:pStyle w:val="10"/>
            <w:tabs>
              <w:tab w:val="right" w:leader="dot" w:pos="8306"/>
            </w:tabs>
          </w:pPr>
          <w:r>
            <w:rPr>
              <w:rFonts w:hint="eastAsia" w:ascii="宋体" w:hAnsi="宋体" w:eastAsia="宋体" w:cs="宋体"/>
              <w:sz w:val="28"/>
              <w:szCs w:val="28"/>
              <w:shd w:val="clear" w:color="auto" w:fill="FFFFFF"/>
            </w:rPr>
            <w:fldChar w:fldCharType="begin"/>
          </w:r>
          <w:r>
            <w:rPr>
              <w:rFonts w:hint="eastAsia" w:ascii="宋体" w:hAnsi="宋体" w:eastAsia="宋体" w:cs="宋体"/>
              <w:sz w:val="28"/>
              <w:szCs w:val="28"/>
              <w:shd w:val="clear" w:color="auto" w:fill="FFFFFF"/>
            </w:rPr>
            <w:instrText xml:space="preserve">TOC \o "1-3" \h \u </w:instrText>
          </w:r>
          <w:r>
            <w:rPr>
              <w:rFonts w:hint="eastAsia" w:ascii="宋体" w:hAnsi="宋体" w:eastAsia="宋体" w:cs="宋体"/>
              <w:sz w:val="28"/>
              <w:szCs w:val="28"/>
              <w:shd w:val="clear" w:color="auto" w:fill="FFFFFF"/>
            </w:rPr>
            <w:fldChar w:fldCharType="separate"/>
          </w: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_Toc8435 </w:instrText>
          </w:r>
          <w:r>
            <w:rPr>
              <w:rFonts w:hint="eastAsia" w:ascii="宋体" w:hAnsi="宋体" w:eastAsia="宋体" w:cs="宋体"/>
              <w:szCs w:val="28"/>
              <w:shd w:val="clear" w:color="auto" w:fill="FFFFFF"/>
            </w:rPr>
            <w:fldChar w:fldCharType="separate"/>
          </w:r>
          <w:r>
            <w:t>一、 滁州市体育事业 “十四五”发展现实基础</w:t>
          </w:r>
          <w:r>
            <w:tab/>
          </w:r>
          <w:r>
            <w:fldChar w:fldCharType="begin"/>
          </w:r>
          <w:r>
            <w:instrText xml:space="preserve"> PAGEREF _Toc8435 \h </w:instrText>
          </w:r>
          <w:r>
            <w:fldChar w:fldCharType="separate"/>
          </w:r>
          <w:r>
            <w:t>1</w:t>
          </w:r>
          <w:r>
            <w:fldChar w:fldCharType="end"/>
          </w:r>
          <w:r>
            <w:rPr>
              <w:rFonts w:hint="eastAsia" w:ascii="宋体" w:hAnsi="宋体" w:eastAsia="宋体" w:cs="宋体"/>
              <w:szCs w:val="28"/>
              <w:shd w:val="clear" w:color="auto" w:fill="FFFFFF"/>
            </w:rPr>
            <w:fldChar w:fldCharType="end"/>
          </w:r>
        </w:p>
        <w:p>
          <w:pPr>
            <w:pStyle w:val="11"/>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_Toc31157 </w:instrText>
          </w:r>
          <w:r>
            <w:rPr>
              <w:rFonts w:hint="eastAsia" w:ascii="宋体" w:hAnsi="宋体" w:eastAsia="宋体" w:cs="宋体"/>
              <w:szCs w:val="28"/>
              <w:shd w:val="clear" w:color="auto" w:fill="FFFFFF"/>
            </w:rPr>
            <w:fldChar w:fldCharType="separate"/>
          </w:r>
          <w:r>
            <w:rPr>
              <w:rFonts w:hint="eastAsia"/>
            </w:rPr>
            <w:t>（一）滁州市体育事业“十三五”发展成就</w:t>
          </w:r>
          <w:r>
            <w:tab/>
          </w:r>
          <w:r>
            <w:fldChar w:fldCharType="begin"/>
          </w:r>
          <w:r>
            <w:instrText xml:space="preserve"> PAGEREF _Toc31157 \h </w:instrText>
          </w:r>
          <w:r>
            <w:fldChar w:fldCharType="separate"/>
          </w:r>
          <w:r>
            <w:t>1</w:t>
          </w:r>
          <w:r>
            <w:fldChar w:fldCharType="end"/>
          </w:r>
          <w:r>
            <w:rPr>
              <w:rFonts w:hint="eastAsia" w:ascii="宋体" w:hAnsi="宋体" w:eastAsia="宋体" w:cs="宋体"/>
              <w:szCs w:val="28"/>
              <w:shd w:val="clear" w:color="auto" w:fill="FFFFFF"/>
            </w:rPr>
            <w:fldChar w:fldCharType="end"/>
          </w:r>
        </w:p>
        <w:p>
          <w:pPr>
            <w:pStyle w:val="7"/>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_Toc21485 </w:instrText>
          </w:r>
          <w:r>
            <w:rPr>
              <w:rFonts w:hint="eastAsia" w:ascii="宋体" w:hAnsi="宋体" w:eastAsia="宋体" w:cs="宋体"/>
              <w:szCs w:val="28"/>
              <w:shd w:val="clear" w:color="auto" w:fill="FFFFFF"/>
            </w:rPr>
            <w:fldChar w:fldCharType="separate"/>
          </w:r>
          <w:r>
            <w:rPr>
              <w:rFonts w:hint="eastAsia"/>
            </w:rPr>
            <w:t>1.体育创强扎实推进</w:t>
          </w:r>
          <w:r>
            <w:tab/>
          </w:r>
          <w:r>
            <w:fldChar w:fldCharType="begin"/>
          </w:r>
          <w:r>
            <w:instrText xml:space="preserve"> PAGEREF _Toc21485 \h </w:instrText>
          </w:r>
          <w:r>
            <w:fldChar w:fldCharType="separate"/>
          </w:r>
          <w:r>
            <w:t>1</w:t>
          </w:r>
          <w:r>
            <w:fldChar w:fldCharType="end"/>
          </w:r>
          <w:r>
            <w:rPr>
              <w:rFonts w:hint="eastAsia" w:ascii="宋体" w:hAnsi="宋体" w:eastAsia="宋体" w:cs="宋体"/>
              <w:szCs w:val="28"/>
              <w:shd w:val="clear" w:color="auto" w:fill="FFFFFF"/>
            </w:rPr>
            <w:fldChar w:fldCharType="end"/>
          </w:r>
        </w:p>
        <w:p>
          <w:pPr>
            <w:pStyle w:val="7"/>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_Toc25408 </w:instrText>
          </w:r>
          <w:r>
            <w:rPr>
              <w:rFonts w:hint="eastAsia" w:ascii="宋体" w:hAnsi="宋体" w:eastAsia="宋体" w:cs="宋体"/>
              <w:szCs w:val="28"/>
              <w:shd w:val="clear" w:color="auto" w:fill="FFFFFF"/>
            </w:rPr>
            <w:fldChar w:fldCharType="separate"/>
          </w:r>
          <w:r>
            <w:rPr>
              <w:rFonts w:hint="eastAsia"/>
            </w:rPr>
            <w:t>2.群众体育蓬勃发展</w:t>
          </w:r>
          <w:r>
            <w:tab/>
          </w:r>
          <w:r>
            <w:fldChar w:fldCharType="begin"/>
          </w:r>
          <w:r>
            <w:instrText xml:space="preserve"> PAGEREF _Toc25408 \h </w:instrText>
          </w:r>
          <w:r>
            <w:fldChar w:fldCharType="separate"/>
          </w:r>
          <w:r>
            <w:t>2</w:t>
          </w:r>
          <w:r>
            <w:fldChar w:fldCharType="end"/>
          </w:r>
          <w:r>
            <w:rPr>
              <w:rFonts w:hint="eastAsia" w:ascii="宋体" w:hAnsi="宋体" w:eastAsia="宋体" w:cs="宋体"/>
              <w:szCs w:val="28"/>
              <w:shd w:val="clear" w:color="auto" w:fill="FFFFFF"/>
            </w:rPr>
            <w:fldChar w:fldCharType="end"/>
          </w:r>
        </w:p>
        <w:p>
          <w:pPr>
            <w:pStyle w:val="7"/>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_Toc14595 </w:instrText>
          </w:r>
          <w:r>
            <w:rPr>
              <w:rFonts w:hint="eastAsia" w:ascii="宋体" w:hAnsi="宋体" w:eastAsia="宋体" w:cs="宋体"/>
              <w:szCs w:val="28"/>
              <w:shd w:val="clear" w:color="auto" w:fill="FFFFFF"/>
            </w:rPr>
            <w:fldChar w:fldCharType="separate"/>
          </w:r>
          <w:r>
            <w:rPr>
              <w:rFonts w:hint="eastAsia"/>
            </w:rPr>
            <w:t>3.竞技体育稳步提高</w:t>
          </w:r>
          <w:r>
            <w:tab/>
          </w:r>
          <w:r>
            <w:fldChar w:fldCharType="begin"/>
          </w:r>
          <w:r>
            <w:instrText xml:space="preserve"> PAGEREF _Toc14595 \h </w:instrText>
          </w:r>
          <w:r>
            <w:fldChar w:fldCharType="separate"/>
          </w:r>
          <w:r>
            <w:t>2</w:t>
          </w:r>
          <w:r>
            <w:fldChar w:fldCharType="end"/>
          </w:r>
          <w:r>
            <w:rPr>
              <w:rFonts w:hint="eastAsia" w:ascii="宋体" w:hAnsi="宋体" w:eastAsia="宋体" w:cs="宋体"/>
              <w:szCs w:val="28"/>
              <w:shd w:val="clear" w:color="auto" w:fill="FFFFFF"/>
            </w:rPr>
            <w:fldChar w:fldCharType="end"/>
          </w:r>
        </w:p>
        <w:p>
          <w:pPr>
            <w:pStyle w:val="7"/>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_Toc21364 </w:instrText>
          </w:r>
          <w:r>
            <w:rPr>
              <w:rFonts w:hint="eastAsia" w:ascii="宋体" w:hAnsi="宋体" w:eastAsia="宋体" w:cs="宋体"/>
              <w:szCs w:val="28"/>
              <w:shd w:val="clear" w:color="auto" w:fill="FFFFFF"/>
            </w:rPr>
            <w:fldChar w:fldCharType="separate"/>
          </w:r>
          <w:r>
            <w:rPr>
              <w:rFonts w:hint="eastAsia"/>
            </w:rPr>
            <w:t>4.体育产业初具规模</w:t>
          </w:r>
          <w:r>
            <w:tab/>
          </w:r>
          <w:r>
            <w:fldChar w:fldCharType="begin"/>
          </w:r>
          <w:r>
            <w:instrText xml:space="preserve"> PAGEREF _Toc21364 \h </w:instrText>
          </w:r>
          <w:r>
            <w:fldChar w:fldCharType="separate"/>
          </w:r>
          <w:r>
            <w:t>3</w:t>
          </w:r>
          <w:r>
            <w:fldChar w:fldCharType="end"/>
          </w:r>
          <w:r>
            <w:rPr>
              <w:rFonts w:hint="eastAsia" w:ascii="宋体" w:hAnsi="宋体" w:eastAsia="宋体" w:cs="宋体"/>
              <w:szCs w:val="28"/>
              <w:shd w:val="clear" w:color="auto" w:fill="FFFFFF"/>
            </w:rPr>
            <w:fldChar w:fldCharType="end"/>
          </w:r>
        </w:p>
        <w:p>
          <w:pPr>
            <w:pStyle w:val="7"/>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_Toc31781 </w:instrText>
          </w:r>
          <w:r>
            <w:rPr>
              <w:rFonts w:hint="eastAsia" w:ascii="宋体" w:hAnsi="宋体" w:eastAsia="宋体" w:cs="宋体"/>
              <w:szCs w:val="28"/>
              <w:shd w:val="clear" w:color="auto" w:fill="FFFFFF"/>
            </w:rPr>
            <w:fldChar w:fldCharType="separate"/>
          </w:r>
          <w:r>
            <w:rPr>
              <w:rFonts w:hint="eastAsia"/>
            </w:rPr>
            <w:t>5.体育文化初现魅力</w:t>
          </w:r>
          <w:r>
            <w:tab/>
          </w:r>
          <w:r>
            <w:fldChar w:fldCharType="begin"/>
          </w:r>
          <w:r>
            <w:instrText xml:space="preserve"> PAGEREF _Toc31781 \h </w:instrText>
          </w:r>
          <w:r>
            <w:fldChar w:fldCharType="separate"/>
          </w:r>
          <w:r>
            <w:t>3</w:t>
          </w:r>
          <w:r>
            <w:fldChar w:fldCharType="end"/>
          </w:r>
          <w:r>
            <w:rPr>
              <w:rFonts w:hint="eastAsia" w:ascii="宋体" w:hAnsi="宋体" w:eastAsia="宋体" w:cs="宋体"/>
              <w:szCs w:val="28"/>
              <w:shd w:val="clear" w:color="auto" w:fill="FFFFFF"/>
            </w:rPr>
            <w:fldChar w:fldCharType="end"/>
          </w:r>
        </w:p>
        <w:p>
          <w:pPr>
            <w:pStyle w:val="11"/>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_Toc30835 </w:instrText>
          </w:r>
          <w:r>
            <w:rPr>
              <w:rFonts w:hint="eastAsia" w:ascii="宋体" w:hAnsi="宋体" w:eastAsia="宋体" w:cs="宋体"/>
              <w:szCs w:val="28"/>
              <w:shd w:val="clear" w:color="auto" w:fill="FFFFFF"/>
            </w:rPr>
            <w:fldChar w:fldCharType="separate"/>
          </w:r>
          <w:r>
            <w:rPr>
              <w:rFonts w:hint="eastAsia"/>
            </w:rPr>
            <w:t>（二）滁州市体育事业“十三五”发展主要问题</w:t>
          </w:r>
          <w:r>
            <w:tab/>
          </w:r>
          <w:r>
            <w:fldChar w:fldCharType="begin"/>
          </w:r>
          <w:r>
            <w:instrText xml:space="preserve"> PAGEREF _Toc30835 \h </w:instrText>
          </w:r>
          <w:r>
            <w:fldChar w:fldCharType="separate"/>
          </w:r>
          <w:r>
            <w:t>4</w:t>
          </w:r>
          <w:r>
            <w:fldChar w:fldCharType="end"/>
          </w:r>
          <w:r>
            <w:rPr>
              <w:rFonts w:hint="eastAsia" w:ascii="宋体" w:hAnsi="宋体" w:eastAsia="宋体" w:cs="宋体"/>
              <w:szCs w:val="28"/>
              <w:shd w:val="clear" w:color="auto" w:fill="FFFFFF"/>
            </w:rPr>
            <w:fldChar w:fldCharType="end"/>
          </w:r>
        </w:p>
        <w:p>
          <w:pPr>
            <w:pStyle w:val="11"/>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_Toc17687 </w:instrText>
          </w:r>
          <w:r>
            <w:rPr>
              <w:rFonts w:hint="eastAsia" w:ascii="宋体" w:hAnsi="宋体" w:eastAsia="宋体" w:cs="宋体"/>
              <w:szCs w:val="28"/>
              <w:shd w:val="clear" w:color="auto" w:fill="FFFFFF"/>
            </w:rPr>
            <w:fldChar w:fldCharType="separate"/>
          </w:r>
          <w:r>
            <w:rPr>
              <w:rFonts w:hint="eastAsia"/>
            </w:rPr>
            <w:t>（三）滁州市体育事业“十四五”发展面临的机遇和挑战</w:t>
          </w:r>
          <w:r>
            <w:tab/>
          </w:r>
          <w:r>
            <w:fldChar w:fldCharType="begin"/>
          </w:r>
          <w:r>
            <w:instrText xml:space="preserve"> PAGEREF _Toc17687 \h </w:instrText>
          </w:r>
          <w:r>
            <w:fldChar w:fldCharType="separate"/>
          </w:r>
          <w:r>
            <w:t>5</w:t>
          </w:r>
          <w:r>
            <w:fldChar w:fldCharType="end"/>
          </w:r>
          <w:r>
            <w:rPr>
              <w:rFonts w:hint="eastAsia" w:ascii="宋体" w:hAnsi="宋体" w:eastAsia="宋体" w:cs="宋体"/>
              <w:szCs w:val="28"/>
              <w:shd w:val="clear" w:color="auto" w:fill="FFFFFF"/>
            </w:rPr>
            <w:fldChar w:fldCharType="end"/>
          </w:r>
        </w:p>
        <w:p>
          <w:pPr>
            <w:pStyle w:val="7"/>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_Toc27766 </w:instrText>
          </w:r>
          <w:r>
            <w:rPr>
              <w:rFonts w:hint="eastAsia" w:ascii="宋体" w:hAnsi="宋体" w:eastAsia="宋体" w:cs="宋体"/>
              <w:szCs w:val="28"/>
              <w:shd w:val="clear" w:color="auto" w:fill="FFFFFF"/>
            </w:rPr>
            <w:fldChar w:fldCharType="separate"/>
          </w:r>
          <w:r>
            <w:rPr>
              <w:rFonts w:hint="eastAsia"/>
            </w:rPr>
            <w:t>1.体育强国建设明确新定位，形成体育发展新格局</w:t>
          </w:r>
          <w:r>
            <w:tab/>
          </w:r>
          <w:r>
            <w:fldChar w:fldCharType="begin"/>
          </w:r>
          <w:r>
            <w:instrText xml:space="preserve"> PAGEREF _Toc27766 \h </w:instrText>
          </w:r>
          <w:r>
            <w:fldChar w:fldCharType="separate"/>
          </w:r>
          <w:r>
            <w:t>5</w:t>
          </w:r>
          <w:r>
            <w:fldChar w:fldCharType="end"/>
          </w:r>
          <w:r>
            <w:rPr>
              <w:rFonts w:hint="eastAsia" w:ascii="宋体" w:hAnsi="宋体" w:eastAsia="宋体" w:cs="宋体"/>
              <w:szCs w:val="28"/>
              <w:shd w:val="clear" w:color="auto" w:fill="FFFFFF"/>
            </w:rPr>
            <w:fldChar w:fldCharType="end"/>
          </w:r>
        </w:p>
        <w:p>
          <w:pPr>
            <w:pStyle w:val="7"/>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_Toc6306 </w:instrText>
          </w:r>
          <w:r>
            <w:rPr>
              <w:rFonts w:hint="eastAsia" w:ascii="宋体" w:hAnsi="宋体" w:eastAsia="宋体" w:cs="宋体"/>
              <w:szCs w:val="28"/>
              <w:shd w:val="clear" w:color="auto" w:fill="FFFFFF"/>
            </w:rPr>
            <w:fldChar w:fldCharType="separate"/>
          </w:r>
          <w:r>
            <w:rPr>
              <w:rFonts w:hint="eastAsia"/>
            </w:rPr>
            <w:t>2.经济进入高质量发展新阶段，催生体育产业新动能</w:t>
          </w:r>
          <w:r>
            <w:tab/>
          </w:r>
          <w:r>
            <w:fldChar w:fldCharType="begin"/>
          </w:r>
          <w:r>
            <w:instrText xml:space="preserve"> PAGEREF _Toc6306 \h </w:instrText>
          </w:r>
          <w:r>
            <w:fldChar w:fldCharType="separate"/>
          </w:r>
          <w:r>
            <w:t>5</w:t>
          </w:r>
          <w:r>
            <w:fldChar w:fldCharType="end"/>
          </w:r>
          <w:r>
            <w:rPr>
              <w:rFonts w:hint="eastAsia" w:ascii="宋体" w:hAnsi="宋体" w:eastAsia="宋体" w:cs="宋体"/>
              <w:szCs w:val="28"/>
              <w:shd w:val="clear" w:color="auto" w:fill="FFFFFF"/>
            </w:rPr>
            <w:fldChar w:fldCharType="end"/>
          </w:r>
        </w:p>
        <w:p>
          <w:pPr>
            <w:pStyle w:val="7"/>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_Toc3763 </w:instrText>
          </w:r>
          <w:r>
            <w:rPr>
              <w:rFonts w:hint="eastAsia" w:ascii="宋体" w:hAnsi="宋体" w:eastAsia="宋体" w:cs="宋体"/>
              <w:szCs w:val="28"/>
              <w:shd w:val="clear" w:color="auto" w:fill="FFFFFF"/>
            </w:rPr>
            <w:fldChar w:fldCharType="separate"/>
          </w:r>
          <w:r>
            <w:rPr>
              <w:rFonts w:hint="eastAsia"/>
            </w:rPr>
            <w:t>3.举办省十五运会为新契机，搭建体育发展新平台</w:t>
          </w:r>
          <w:r>
            <w:tab/>
          </w:r>
          <w:r>
            <w:fldChar w:fldCharType="begin"/>
          </w:r>
          <w:r>
            <w:instrText xml:space="preserve"> PAGEREF _Toc3763 \h </w:instrText>
          </w:r>
          <w:r>
            <w:fldChar w:fldCharType="separate"/>
          </w:r>
          <w:r>
            <w:t>6</w:t>
          </w:r>
          <w:r>
            <w:fldChar w:fldCharType="end"/>
          </w:r>
          <w:r>
            <w:rPr>
              <w:rFonts w:hint="eastAsia" w:ascii="宋体" w:hAnsi="宋体" w:eastAsia="宋体" w:cs="宋体"/>
              <w:szCs w:val="28"/>
              <w:shd w:val="clear" w:color="auto" w:fill="FFFFFF"/>
            </w:rPr>
            <w:fldChar w:fldCharType="end"/>
          </w:r>
        </w:p>
        <w:p>
          <w:pPr>
            <w:pStyle w:val="10"/>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_Toc22646 </w:instrText>
          </w:r>
          <w:r>
            <w:rPr>
              <w:rFonts w:hint="eastAsia" w:ascii="宋体" w:hAnsi="宋体" w:eastAsia="宋体" w:cs="宋体"/>
              <w:szCs w:val="28"/>
              <w:shd w:val="clear" w:color="auto" w:fill="FFFFFF"/>
            </w:rPr>
            <w:fldChar w:fldCharType="separate"/>
          </w:r>
          <w:r>
            <w:t>二、滁州市体育事业“十四五”发展指导思想和目标</w:t>
          </w:r>
          <w:r>
            <w:tab/>
          </w:r>
          <w:r>
            <w:fldChar w:fldCharType="begin"/>
          </w:r>
          <w:r>
            <w:instrText xml:space="preserve"> PAGEREF _Toc22646 \h </w:instrText>
          </w:r>
          <w:r>
            <w:fldChar w:fldCharType="separate"/>
          </w:r>
          <w:r>
            <w:t>6</w:t>
          </w:r>
          <w:r>
            <w:fldChar w:fldCharType="end"/>
          </w:r>
          <w:r>
            <w:rPr>
              <w:rFonts w:hint="eastAsia" w:ascii="宋体" w:hAnsi="宋体" w:eastAsia="宋体" w:cs="宋体"/>
              <w:szCs w:val="28"/>
              <w:shd w:val="clear" w:color="auto" w:fill="FFFFFF"/>
            </w:rPr>
            <w:fldChar w:fldCharType="end"/>
          </w:r>
        </w:p>
        <w:p>
          <w:pPr>
            <w:pStyle w:val="11"/>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_Toc25658 </w:instrText>
          </w:r>
          <w:r>
            <w:rPr>
              <w:rFonts w:hint="eastAsia" w:ascii="宋体" w:hAnsi="宋体" w:eastAsia="宋体" w:cs="宋体"/>
              <w:szCs w:val="28"/>
              <w:shd w:val="clear" w:color="auto" w:fill="FFFFFF"/>
            </w:rPr>
            <w:fldChar w:fldCharType="separate"/>
          </w:r>
          <w:r>
            <w:rPr>
              <w:rFonts w:hint="eastAsia"/>
            </w:rPr>
            <w:t>（四）指导思想</w:t>
          </w:r>
          <w:r>
            <w:tab/>
          </w:r>
          <w:r>
            <w:fldChar w:fldCharType="begin"/>
          </w:r>
          <w:r>
            <w:instrText xml:space="preserve"> PAGEREF _Toc25658 \h </w:instrText>
          </w:r>
          <w:r>
            <w:fldChar w:fldCharType="separate"/>
          </w:r>
          <w:r>
            <w:t>7</w:t>
          </w:r>
          <w:r>
            <w:fldChar w:fldCharType="end"/>
          </w:r>
          <w:r>
            <w:rPr>
              <w:rFonts w:hint="eastAsia" w:ascii="宋体" w:hAnsi="宋体" w:eastAsia="宋体" w:cs="宋体"/>
              <w:szCs w:val="28"/>
              <w:shd w:val="clear" w:color="auto" w:fill="FFFFFF"/>
            </w:rPr>
            <w:fldChar w:fldCharType="end"/>
          </w:r>
        </w:p>
        <w:p>
          <w:pPr>
            <w:pStyle w:val="11"/>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_Toc32504 </w:instrText>
          </w:r>
          <w:r>
            <w:rPr>
              <w:rFonts w:hint="eastAsia" w:ascii="宋体" w:hAnsi="宋体" w:eastAsia="宋体" w:cs="宋体"/>
              <w:szCs w:val="28"/>
              <w:shd w:val="clear" w:color="auto" w:fill="FFFFFF"/>
            </w:rPr>
            <w:fldChar w:fldCharType="separate"/>
          </w:r>
          <w:r>
            <w:rPr>
              <w:rFonts w:hint="eastAsia"/>
            </w:rPr>
            <w:t>（五）发展目标</w:t>
          </w:r>
          <w:r>
            <w:tab/>
          </w:r>
          <w:r>
            <w:fldChar w:fldCharType="begin"/>
          </w:r>
          <w:r>
            <w:instrText xml:space="preserve"> PAGEREF _Toc32504 \h </w:instrText>
          </w:r>
          <w:r>
            <w:fldChar w:fldCharType="separate"/>
          </w:r>
          <w:r>
            <w:t>7</w:t>
          </w:r>
          <w:r>
            <w:fldChar w:fldCharType="end"/>
          </w:r>
          <w:r>
            <w:rPr>
              <w:rFonts w:hint="eastAsia" w:ascii="宋体" w:hAnsi="宋体" w:eastAsia="宋体" w:cs="宋体"/>
              <w:szCs w:val="28"/>
              <w:shd w:val="clear" w:color="auto" w:fill="FFFFFF"/>
            </w:rPr>
            <w:fldChar w:fldCharType="end"/>
          </w:r>
        </w:p>
        <w:p>
          <w:pPr>
            <w:pStyle w:val="7"/>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_Toc18701 </w:instrText>
          </w:r>
          <w:r>
            <w:rPr>
              <w:rFonts w:hint="eastAsia" w:ascii="宋体" w:hAnsi="宋体" w:eastAsia="宋体" w:cs="宋体"/>
              <w:szCs w:val="28"/>
              <w:shd w:val="clear" w:color="auto" w:fill="FFFFFF"/>
            </w:rPr>
            <w:fldChar w:fldCharType="separate"/>
          </w:r>
          <w:r>
            <w:rPr>
              <w:rFonts w:hint="eastAsia"/>
            </w:rPr>
            <w:t>1.提高全民健身服务水平</w:t>
          </w:r>
          <w:r>
            <w:tab/>
          </w:r>
          <w:r>
            <w:fldChar w:fldCharType="begin"/>
          </w:r>
          <w:r>
            <w:instrText xml:space="preserve"> PAGEREF _Toc18701 \h </w:instrText>
          </w:r>
          <w:r>
            <w:fldChar w:fldCharType="separate"/>
          </w:r>
          <w:r>
            <w:t>7</w:t>
          </w:r>
          <w:r>
            <w:fldChar w:fldCharType="end"/>
          </w:r>
          <w:r>
            <w:rPr>
              <w:rFonts w:hint="eastAsia" w:ascii="宋体" w:hAnsi="宋体" w:eastAsia="宋体" w:cs="宋体"/>
              <w:szCs w:val="28"/>
              <w:shd w:val="clear" w:color="auto" w:fill="FFFFFF"/>
            </w:rPr>
            <w:fldChar w:fldCharType="end"/>
          </w:r>
        </w:p>
        <w:p>
          <w:pPr>
            <w:pStyle w:val="7"/>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_Toc24204 </w:instrText>
          </w:r>
          <w:r>
            <w:rPr>
              <w:rFonts w:hint="eastAsia" w:ascii="宋体" w:hAnsi="宋体" w:eastAsia="宋体" w:cs="宋体"/>
              <w:szCs w:val="28"/>
              <w:shd w:val="clear" w:color="auto" w:fill="FFFFFF"/>
            </w:rPr>
            <w:fldChar w:fldCharType="separate"/>
          </w:r>
          <w:r>
            <w:rPr>
              <w:rFonts w:hint="eastAsia"/>
            </w:rPr>
            <w:t>2.提升竞技体育综合实力</w:t>
          </w:r>
          <w:r>
            <w:tab/>
          </w:r>
          <w:r>
            <w:fldChar w:fldCharType="begin"/>
          </w:r>
          <w:r>
            <w:instrText xml:space="preserve"> PAGEREF _Toc24204 \h </w:instrText>
          </w:r>
          <w:r>
            <w:fldChar w:fldCharType="separate"/>
          </w:r>
          <w:r>
            <w:t>8</w:t>
          </w:r>
          <w:r>
            <w:fldChar w:fldCharType="end"/>
          </w:r>
          <w:r>
            <w:rPr>
              <w:rFonts w:hint="eastAsia" w:ascii="宋体" w:hAnsi="宋体" w:eastAsia="宋体" w:cs="宋体"/>
              <w:szCs w:val="28"/>
              <w:shd w:val="clear" w:color="auto" w:fill="FFFFFF"/>
            </w:rPr>
            <w:fldChar w:fldCharType="end"/>
          </w:r>
        </w:p>
        <w:p>
          <w:pPr>
            <w:pStyle w:val="7"/>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_Toc15049 </w:instrText>
          </w:r>
          <w:r>
            <w:rPr>
              <w:rFonts w:hint="eastAsia" w:ascii="宋体" w:hAnsi="宋体" w:eastAsia="宋体" w:cs="宋体"/>
              <w:szCs w:val="28"/>
              <w:shd w:val="clear" w:color="auto" w:fill="FFFFFF"/>
            </w:rPr>
            <w:fldChar w:fldCharType="separate"/>
          </w:r>
          <w:r>
            <w:rPr>
              <w:rFonts w:hint="eastAsia"/>
            </w:rPr>
            <w:t>3.促进青少年健康发展</w:t>
          </w:r>
          <w:r>
            <w:tab/>
          </w:r>
          <w:r>
            <w:fldChar w:fldCharType="begin"/>
          </w:r>
          <w:r>
            <w:instrText xml:space="preserve"> PAGEREF _Toc15049 \h </w:instrText>
          </w:r>
          <w:r>
            <w:fldChar w:fldCharType="separate"/>
          </w:r>
          <w:r>
            <w:t>8</w:t>
          </w:r>
          <w:r>
            <w:fldChar w:fldCharType="end"/>
          </w:r>
          <w:r>
            <w:rPr>
              <w:rFonts w:hint="eastAsia" w:ascii="宋体" w:hAnsi="宋体" w:eastAsia="宋体" w:cs="宋体"/>
              <w:szCs w:val="28"/>
              <w:shd w:val="clear" w:color="auto" w:fill="FFFFFF"/>
            </w:rPr>
            <w:fldChar w:fldCharType="end"/>
          </w:r>
        </w:p>
        <w:p>
          <w:pPr>
            <w:pStyle w:val="7"/>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_Toc10264 </w:instrText>
          </w:r>
          <w:r>
            <w:rPr>
              <w:rFonts w:hint="eastAsia" w:ascii="宋体" w:hAnsi="宋体" w:eastAsia="宋体" w:cs="宋体"/>
              <w:szCs w:val="28"/>
              <w:shd w:val="clear" w:color="auto" w:fill="FFFFFF"/>
            </w:rPr>
            <w:fldChar w:fldCharType="separate"/>
          </w:r>
          <w:r>
            <w:rPr>
              <w:rFonts w:hint="eastAsia"/>
            </w:rPr>
            <w:t>4.提升体育产业新高度</w:t>
          </w:r>
          <w:r>
            <w:tab/>
          </w:r>
          <w:r>
            <w:fldChar w:fldCharType="begin"/>
          </w:r>
          <w:r>
            <w:instrText xml:space="preserve"> PAGEREF _Toc10264 \h </w:instrText>
          </w:r>
          <w:r>
            <w:fldChar w:fldCharType="separate"/>
          </w:r>
          <w:r>
            <w:t>9</w:t>
          </w:r>
          <w:r>
            <w:fldChar w:fldCharType="end"/>
          </w:r>
          <w:r>
            <w:rPr>
              <w:rFonts w:hint="eastAsia" w:ascii="宋体" w:hAnsi="宋体" w:eastAsia="宋体" w:cs="宋体"/>
              <w:szCs w:val="28"/>
              <w:shd w:val="clear" w:color="auto" w:fill="FFFFFF"/>
            </w:rPr>
            <w:fldChar w:fldCharType="end"/>
          </w:r>
        </w:p>
        <w:p>
          <w:pPr>
            <w:pStyle w:val="7"/>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_Toc4485 </w:instrText>
          </w:r>
          <w:r>
            <w:rPr>
              <w:rFonts w:hint="eastAsia" w:ascii="宋体" w:hAnsi="宋体" w:eastAsia="宋体" w:cs="宋体"/>
              <w:szCs w:val="28"/>
              <w:shd w:val="clear" w:color="auto" w:fill="FFFFFF"/>
            </w:rPr>
            <w:fldChar w:fldCharType="separate"/>
          </w:r>
          <w:r>
            <w:rPr>
              <w:rFonts w:hint="eastAsia"/>
            </w:rPr>
            <w:t>5.营造体育文化新氛围</w:t>
          </w:r>
          <w:r>
            <w:tab/>
          </w:r>
          <w:r>
            <w:fldChar w:fldCharType="begin"/>
          </w:r>
          <w:r>
            <w:instrText xml:space="preserve"> PAGEREF _Toc4485 \h </w:instrText>
          </w:r>
          <w:r>
            <w:fldChar w:fldCharType="separate"/>
          </w:r>
          <w:r>
            <w:t>9</w:t>
          </w:r>
          <w:r>
            <w:fldChar w:fldCharType="end"/>
          </w:r>
          <w:r>
            <w:rPr>
              <w:rFonts w:hint="eastAsia" w:ascii="宋体" w:hAnsi="宋体" w:eastAsia="宋体" w:cs="宋体"/>
              <w:szCs w:val="28"/>
              <w:shd w:val="clear" w:color="auto" w:fill="FFFFFF"/>
            </w:rPr>
            <w:fldChar w:fldCharType="end"/>
          </w:r>
        </w:p>
        <w:p>
          <w:pPr>
            <w:pStyle w:val="7"/>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_Toc23263 </w:instrText>
          </w:r>
          <w:r>
            <w:rPr>
              <w:rFonts w:hint="eastAsia" w:ascii="宋体" w:hAnsi="宋体" w:eastAsia="宋体" w:cs="宋体"/>
              <w:szCs w:val="28"/>
              <w:shd w:val="clear" w:color="auto" w:fill="FFFFFF"/>
            </w:rPr>
            <w:fldChar w:fldCharType="separate"/>
          </w:r>
          <w:r>
            <w:rPr>
              <w:rFonts w:hint="eastAsia"/>
            </w:rPr>
            <w:t>6.全面深化依法治体</w:t>
          </w:r>
          <w:r>
            <w:tab/>
          </w:r>
          <w:r>
            <w:fldChar w:fldCharType="begin"/>
          </w:r>
          <w:r>
            <w:instrText xml:space="preserve"> PAGEREF _Toc23263 \h </w:instrText>
          </w:r>
          <w:r>
            <w:fldChar w:fldCharType="separate"/>
          </w:r>
          <w:r>
            <w:t>9</w:t>
          </w:r>
          <w:r>
            <w:fldChar w:fldCharType="end"/>
          </w:r>
          <w:r>
            <w:rPr>
              <w:rFonts w:hint="eastAsia" w:ascii="宋体" w:hAnsi="宋体" w:eastAsia="宋体" w:cs="宋体"/>
              <w:szCs w:val="28"/>
              <w:shd w:val="clear" w:color="auto" w:fill="FFFFFF"/>
            </w:rPr>
            <w:fldChar w:fldCharType="end"/>
          </w:r>
        </w:p>
        <w:p>
          <w:pPr>
            <w:pStyle w:val="10"/>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_Toc24800 </w:instrText>
          </w:r>
          <w:r>
            <w:rPr>
              <w:rFonts w:hint="eastAsia" w:ascii="宋体" w:hAnsi="宋体" w:eastAsia="宋体" w:cs="宋体"/>
              <w:szCs w:val="28"/>
              <w:shd w:val="clear" w:color="auto" w:fill="FFFFFF"/>
            </w:rPr>
            <w:fldChar w:fldCharType="separate"/>
          </w:r>
          <w:r>
            <w:t>三、滁州市体育事业“十四五”发展主要任务</w:t>
          </w:r>
          <w:r>
            <w:tab/>
          </w:r>
          <w:r>
            <w:fldChar w:fldCharType="begin"/>
          </w:r>
          <w:r>
            <w:instrText xml:space="preserve"> PAGEREF _Toc24800 \h </w:instrText>
          </w:r>
          <w:r>
            <w:fldChar w:fldCharType="separate"/>
          </w:r>
          <w:r>
            <w:t>9</w:t>
          </w:r>
          <w:r>
            <w:fldChar w:fldCharType="end"/>
          </w:r>
          <w:r>
            <w:rPr>
              <w:rFonts w:hint="eastAsia" w:ascii="宋体" w:hAnsi="宋体" w:eastAsia="宋体" w:cs="宋体"/>
              <w:szCs w:val="28"/>
              <w:shd w:val="clear" w:color="auto" w:fill="FFFFFF"/>
            </w:rPr>
            <w:fldChar w:fldCharType="end"/>
          </w:r>
        </w:p>
        <w:p>
          <w:pPr>
            <w:pStyle w:val="11"/>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_Toc4061 </w:instrText>
          </w:r>
          <w:r>
            <w:rPr>
              <w:rFonts w:hint="eastAsia" w:ascii="宋体" w:hAnsi="宋体" w:eastAsia="宋体" w:cs="宋体"/>
              <w:szCs w:val="28"/>
              <w:shd w:val="clear" w:color="auto" w:fill="FFFFFF"/>
            </w:rPr>
            <w:fldChar w:fldCharType="separate"/>
          </w:r>
          <w:r>
            <w:rPr>
              <w:rFonts w:hint="eastAsia"/>
            </w:rPr>
            <w:t>（六）科学统筹健身资源，提高群众体育发展质量</w:t>
          </w:r>
          <w:r>
            <w:tab/>
          </w:r>
          <w:r>
            <w:fldChar w:fldCharType="begin"/>
          </w:r>
          <w:r>
            <w:instrText xml:space="preserve"> PAGEREF _Toc4061 \h </w:instrText>
          </w:r>
          <w:r>
            <w:fldChar w:fldCharType="separate"/>
          </w:r>
          <w:r>
            <w:t>10</w:t>
          </w:r>
          <w:r>
            <w:fldChar w:fldCharType="end"/>
          </w:r>
          <w:r>
            <w:rPr>
              <w:rFonts w:hint="eastAsia" w:ascii="宋体" w:hAnsi="宋体" w:eastAsia="宋体" w:cs="宋体"/>
              <w:szCs w:val="28"/>
              <w:shd w:val="clear" w:color="auto" w:fill="FFFFFF"/>
            </w:rPr>
            <w:fldChar w:fldCharType="end"/>
          </w:r>
        </w:p>
        <w:p>
          <w:pPr>
            <w:pStyle w:val="7"/>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_Toc19032 </w:instrText>
          </w:r>
          <w:r>
            <w:rPr>
              <w:rFonts w:hint="eastAsia" w:ascii="宋体" w:hAnsi="宋体" w:eastAsia="宋体" w:cs="宋体"/>
              <w:szCs w:val="28"/>
              <w:shd w:val="clear" w:color="auto" w:fill="FFFFFF"/>
            </w:rPr>
            <w:fldChar w:fldCharType="separate"/>
          </w:r>
          <w:r>
            <w:rPr>
              <w:rFonts w:hint="eastAsia"/>
            </w:rPr>
            <w:t>1.加强场地设施建设</w:t>
          </w:r>
          <w:r>
            <w:tab/>
          </w:r>
          <w:r>
            <w:fldChar w:fldCharType="begin"/>
          </w:r>
          <w:r>
            <w:instrText xml:space="preserve"> PAGEREF _Toc19032 \h </w:instrText>
          </w:r>
          <w:r>
            <w:fldChar w:fldCharType="separate"/>
          </w:r>
          <w:r>
            <w:t>10</w:t>
          </w:r>
          <w:r>
            <w:fldChar w:fldCharType="end"/>
          </w:r>
          <w:r>
            <w:rPr>
              <w:rFonts w:hint="eastAsia" w:ascii="宋体" w:hAnsi="宋体" w:eastAsia="宋体" w:cs="宋体"/>
              <w:szCs w:val="28"/>
              <w:shd w:val="clear" w:color="auto" w:fill="FFFFFF"/>
            </w:rPr>
            <w:fldChar w:fldCharType="end"/>
          </w:r>
        </w:p>
        <w:p>
          <w:pPr>
            <w:pStyle w:val="7"/>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_Toc25925 </w:instrText>
          </w:r>
          <w:r>
            <w:rPr>
              <w:rFonts w:hint="eastAsia" w:ascii="宋体" w:hAnsi="宋体" w:eastAsia="宋体" w:cs="宋体"/>
              <w:szCs w:val="28"/>
              <w:shd w:val="clear" w:color="auto" w:fill="FFFFFF"/>
            </w:rPr>
            <w:fldChar w:fldCharType="separate"/>
          </w:r>
          <w:r>
            <w:rPr>
              <w:rFonts w:hint="eastAsia"/>
            </w:rPr>
            <w:t>2.健全健身组织网络</w:t>
          </w:r>
          <w:r>
            <w:tab/>
          </w:r>
          <w:r>
            <w:fldChar w:fldCharType="begin"/>
          </w:r>
          <w:r>
            <w:instrText xml:space="preserve"> PAGEREF _Toc25925 \h </w:instrText>
          </w:r>
          <w:r>
            <w:fldChar w:fldCharType="separate"/>
          </w:r>
          <w:r>
            <w:t>10</w:t>
          </w:r>
          <w:r>
            <w:fldChar w:fldCharType="end"/>
          </w:r>
          <w:r>
            <w:rPr>
              <w:rFonts w:hint="eastAsia" w:ascii="宋体" w:hAnsi="宋体" w:eastAsia="宋体" w:cs="宋体"/>
              <w:szCs w:val="28"/>
              <w:shd w:val="clear" w:color="auto" w:fill="FFFFFF"/>
            </w:rPr>
            <w:fldChar w:fldCharType="end"/>
          </w:r>
        </w:p>
        <w:p>
          <w:pPr>
            <w:pStyle w:val="7"/>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_Toc4945 </w:instrText>
          </w:r>
          <w:r>
            <w:rPr>
              <w:rFonts w:hint="eastAsia" w:ascii="宋体" w:hAnsi="宋体" w:eastAsia="宋体" w:cs="宋体"/>
              <w:szCs w:val="28"/>
              <w:shd w:val="clear" w:color="auto" w:fill="FFFFFF"/>
            </w:rPr>
            <w:fldChar w:fldCharType="separate"/>
          </w:r>
          <w:r>
            <w:rPr>
              <w:rFonts w:hint="eastAsia"/>
            </w:rPr>
            <w:t>3.丰富全民健身活动</w:t>
          </w:r>
          <w:r>
            <w:tab/>
          </w:r>
          <w:r>
            <w:fldChar w:fldCharType="begin"/>
          </w:r>
          <w:r>
            <w:instrText xml:space="preserve"> PAGEREF _Toc4945 \h </w:instrText>
          </w:r>
          <w:r>
            <w:fldChar w:fldCharType="separate"/>
          </w:r>
          <w:r>
            <w:t>11</w:t>
          </w:r>
          <w:r>
            <w:fldChar w:fldCharType="end"/>
          </w:r>
          <w:r>
            <w:rPr>
              <w:rFonts w:hint="eastAsia" w:ascii="宋体" w:hAnsi="宋体" w:eastAsia="宋体" w:cs="宋体"/>
              <w:szCs w:val="28"/>
              <w:shd w:val="clear" w:color="auto" w:fill="FFFFFF"/>
            </w:rPr>
            <w:fldChar w:fldCharType="end"/>
          </w:r>
        </w:p>
        <w:p>
          <w:pPr>
            <w:pStyle w:val="7"/>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_Toc13025 </w:instrText>
          </w:r>
          <w:r>
            <w:rPr>
              <w:rFonts w:hint="eastAsia" w:ascii="宋体" w:hAnsi="宋体" w:eastAsia="宋体" w:cs="宋体"/>
              <w:szCs w:val="28"/>
              <w:shd w:val="clear" w:color="auto" w:fill="FFFFFF"/>
            </w:rPr>
            <w:fldChar w:fldCharType="separate"/>
          </w:r>
          <w:r>
            <w:rPr>
              <w:rFonts w:hint="eastAsia"/>
            </w:rPr>
            <w:t>4.加强科学健身指导</w:t>
          </w:r>
          <w:r>
            <w:tab/>
          </w:r>
          <w:r>
            <w:fldChar w:fldCharType="begin"/>
          </w:r>
          <w:r>
            <w:instrText xml:space="preserve"> PAGEREF _Toc13025 \h </w:instrText>
          </w:r>
          <w:r>
            <w:fldChar w:fldCharType="separate"/>
          </w:r>
          <w:r>
            <w:t>11</w:t>
          </w:r>
          <w:r>
            <w:fldChar w:fldCharType="end"/>
          </w:r>
          <w:r>
            <w:rPr>
              <w:rFonts w:hint="eastAsia" w:ascii="宋体" w:hAnsi="宋体" w:eastAsia="宋体" w:cs="宋体"/>
              <w:szCs w:val="28"/>
              <w:shd w:val="clear" w:color="auto" w:fill="FFFFFF"/>
            </w:rPr>
            <w:fldChar w:fldCharType="end"/>
          </w:r>
        </w:p>
        <w:p>
          <w:pPr>
            <w:pStyle w:val="11"/>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_Toc9348 </w:instrText>
          </w:r>
          <w:r>
            <w:rPr>
              <w:rFonts w:hint="eastAsia" w:ascii="宋体" w:hAnsi="宋体" w:eastAsia="宋体" w:cs="宋体"/>
              <w:szCs w:val="28"/>
              <w:shd w:val="clear" w:color="auto" w:fill="FFFFFF"/>
            </w:rPr>
            <w:fldChar w:fldCharType="separate"/>
          </w:r>
          <w:r>
            <w:rPr>
              <w:rFonts w:hint="eastAsia"/>
            </w:rPr>
            <w:t>（七）紧抓传统优势项目，不断提升竞技体育综合实力</w:t>
          </w:r>
          <w:r>
            <w:tab/>
          </w:r>
          <w:r>
            <w:fldChar w:fldCharType="begin"/>
          </w:r>
          <w:r>
            <w:instrText xml:space="preserve"> PAGEREF _Toc9348 \h </w:instrText>
          </w:r>
          <w:r>
            <w:fldChar w:fldCharType="separate"/>
          </w:r>
          <w:r>
            <w:t>12</w:t>
          </w:r>
          <w:r>
            <w:fldChar w:fldCharType="end"/>
          </w:r>
          <w:r>
            <w:rPr>
              <w:rFonts w:hint="eastAsia" w:ascii="宋体" w:hAnsi="宋体" w:eastAsia="宋体" w:cs="宋体"/>
              <w:szCs w:val="28"/>
              <w:shd w:val="clear" w:color="auto" w:fill="FFFFFF"/>
            </w:rPr>
            <w:fldChar w:fldCharType="end"/>
          </w:r>
        </w:p>
        <w:p>
          <w:pPr>
            <w:pStyle w:val="7"/>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_Toc13909 </w:instrText>
          </w:r>
          <w:r>
            <w:rPr>
              <w:rFonts w:hint="eastAsia" w:ascii="宋体" w:hAnsi="宋体" w:eastAsia="宋体" w:cs="宋体"/>
              <w:szCs w:val="28"/>
              <w:shd w:val="clear" w:color="auto" w:fill="FFFFFF"/>
            </w:rPr>
            <w:fldChar w:fldCharType="separate"/>
          </w:r>
          <w:r>
            <w:rPr>
              <w:rFonts w:hint="eastAsia"/>
            </w:rPr>
            <w:t>1.加强训练条件保障建设，夯实竞技训练基础</w:t>
          </w:r>
          <w:r>
            <w:tab/>
          </w:r>
          <w:r>
            <w:fldChar w:fldCharType="begin"/>
          </w:r>
          <w:r>
            <w:instrText xml:space="preserve"> PAGEREF _Toc13909 \h </w:instrText>
          </w:r>
          <w:r>
            <w:fldChar w:fldCharType="separate"/>
          </w:r>
          <w:r>
            <w:t>12</w:t>
          </w:r>
          <w:r>
            <w:fldChar w:fldCharType="end"/>
          </w:r>
          <w:r>
            <w:rPr>
              <w:rFonts w:hint="eastAsia" w:ascii="宋体" w:hAnsi="宋体" w:eastAsia="宋体" w:cs="宋体"/>
              <w:szCs w:val="28"/>
              <w:shd w:val="clear" w:color="auto" w:fill="FFFFFF"/>
            </w:rPr>
            <w:fldChar w:fldCharType="end"/>
          </w:r>
        </w:p>
        <w:p>
          <w:pPr>
            <w:pStyle w:val="7"/>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_Toc1447 </w:instrText>
          </w:r>
          <w:r>
            <w:rPr>
              <w:rFonts w:hint="eastAsia" w:ascii="宋体" w:hAnsi="宋体" w:eastAsia="宋体" w:cs="宋体"/>
              <w:szCs w:val="28"/>
              <w:shd w:val="clear" w:color="auto" w:fill="FFFFFF"/>
            </w:rPr>
            <w:fldChar w:fldCharType="separate"/>
          </w:r>
          <w:r>
            <w:rPr>
              <w:rFonts w:hint="eastAsia"/>
            </w:rPr>
            <w:t>2.调整优化竞技项目布局，保证持续发展动力</w:t>
          </w:r>
          <w:r>
            <w:tab/>
          </w:r>
          <w:r>
            <w:fldChar w:fldCharType="begin"/>
          </w:r>
          <w:r>
            <w:instrText xml:space="preserve"> PAGEREF _Toc1447 \h </w:instrText>
          </w:r>
          <w:r>
            <w:fldChar w:fldCharType="separate"/>
          </w:r>
          <w:r>
            <w:t>12</w:t>
          </w:r>
          <w:r>
            <w:fldChar w:fldCharType="end"/>
          </w:r>
          <w:r>
            <w:rPr>
              <w:rFonts w:hint="eastAsia" w:ascii="宋体" w:hAnsi="宋体" w:eastAsia="宋体" w:cs="宋体"/>
              <w:szCs w:val="28"/>
              <w:shd w:val="clear" w:color="auto" w:fill="FFFFFF"/>
            </w:rPr>
            <w:fldChar w:fldCharType="end"/>
          </w:r>
        </w:p>
        <w:p>
          <w:pPr>
            <w:pStyle w:val="7"/>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_Toc7829 </w:instrText>
          </w:r>
          <w:r>
            <w:rPr>
              <w:rFonts w:hint="eastAsia" w:ascii="宋体" w:hAnsi="宋体" w:eastAsia="宋体" w:cs="宋体"/>
              <w:szCs w:val="28"/>
              <w:shd w:val="clear" w:color="auto" w:fill="FFFFFF"/>
            </w:rPr>
            <w:fldChar w:fldCharType="separate"/>
          </w:r>
          <w:r>
            <w:rPr>
              <w:rFonts w:hint="eastAsia"/>
            </w:rPr>
            <w:t>3.加强运动员思想政治和文化教育工作，落实立德树人根本任务</w:t>
          </w:r>
          <w:r>
            <w:tab/>
          </w:r>
          <w:r>
            <w:fldChar w:fldCharType="begin"/>
          </w:r>
          <w:r>
            <w:instrText xml:space="preserve"> PAGEREF _Toc7829 \h </w:instrText>
          </w:r>
          <w:r>
            <w:fldChar w:fldCharType="separate"/>
          </w:r>
          <w:r>
            <w:t>12</w:t>
          </w:r>
          <w:r>
            <w:fldChar w:fldCharType="end"/>
          </w:r>
          <w:r>
            <w:rPr>
              <w:rFonts w:hint="eastAsia" w:ascii="宋体" w:hAnsi="宋体" w:eastAsia="宋体" w:cs="宋体"/>
              <w:szCs w:val="28"/>
              <w:shd w:val="clear" w:color="auto" w:fill="FFFFFF"/>
            </w:rPr>
            <w:fldChar w:fldCharType="end"/>
          </w:r>
        </w:p>
        <w:p>
          <w:pPr>
            <w:pStyle w:val="7"/>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_Toc16266 </w:instrText>
          </w:r>
          <w:r>
            <w:rPr>
              <w:rFonts w:hint="eastAsia" w:ascii="宋体" w:hAnsi="宋体" w:eastAsia="宋体" w:cs="宋体"/>
              <w:szCs w:val="28"/>
              <w:shd w:val="clear" w:color="auto" w:fill="FFFFFF"/>
            </w:rPr>
            <w:fldChar w:fldCharType="separate"/>
          </w:r>
          <w:r>
            <w:rPr>
              <w:rFonts w:hint="eastAsia"/>
            </w:rPr>
            <w:t>4.创新训练手段和方法，提高训练科学水平与效益</w:t>
          </w:r>
          <w:r>
            <w:tab/>
          </w:r>
          <w:r>
            <w:fldChar w:fldCharType="begin"/>
          </w:r>
          <w:r>
            <w:instrText xml:space="preserve"> PAGEREF _Toc16266 \h </w:instrText>
          </w:r>
          <w:r>
            <w:fldChar w:fldCharType="separate"/>
          </w:r>
          <w:r>
            <w:t>13</w:t>
          </w:r>
          <w:r>
            <w:fldChar w:fldCharType="end"/>
          </w:r>
          <w:r>
            <w:rPr>
              <w:rFonts w:hint="eastAsia" w:ascii="宋体" w:hAnsi="宋体" w:eastAsia="宋体" w:cs="宋体"/>
              <w:szCs w:val="28"/>
              <w:shd w:val="clear" w:color="auto" w:fill="FFFFFF"/>
            </w:rPr>
            <w:fldChar w:fldCharType="end"/>
          </w:r>
        </w:p>
        <w:p>
          <w:pPr>
            <w:pStyle w:val="7"/>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_Toc22555 </w:instrText>
          </w:r>
          <w:r>
            <w:rPr>
              <w:rFonts w:hint="eastAsia" w:ascii="宋体" w:hAnsi="宋体" w:eastAsia="宋体" w:cs="宋体"/>
              <w:szCs w:val="28"/>
              <w:shd w:val="clear" w:color="auto" w:fill="FFFFFF"/>
            </w:rPr>
            <w:fldChar w:fldCharType="separate"/>
          </w:r>
          <w:r>
            <w:rPr>
              <w:rFonts w:hint="eastAsia"/>
            </w:rPr>
            <w:t>5.加快实施竞技体育人才工程，做好重要赛事备战</w:t>
          </w:r>
          <w:r>
            <w:tab/>
          </w:r>
          <w:r>
            <w:fldChar w:fldCharType="begin"/>
          </w:r>
          <w:r>
            <w:instrText xml:space="preserve"> PAGEREF _Toc22555 \h </w:instrText>
          </w:r>
          <w:r>
            <w:fldChar w:fldCharType="separate"/>
          </w:r>
          <w:r>
            <w:t>13</w:t>
          </w:r>
          <w:r>
            <w:fldChar w:fldCharType="end"/>
          </w:r>
          <w:r>
            <w:rPr>
              <w:rFonts w:hint="eastAsia" w:ascii="宋体" w:hAnsi="宋体" w:eastAsia="宋体" w:cs="宋体"/>
              <w:szCs w:val="28"/>
              <w:shd w:val="clear" w:color="auto" w:fill="FFFFFF"/>
            </w:rPr>
            <w:fldChar w:fldCharType="end"/>
          </w:r>
        </w:p>
        <w:p>
          <w:pPr>
            <w:pStyle w:val="7"/>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_Toc8201 </w:instrText>
          </w:r>
          <w:r>
            <w:rPr>
              <w:rFonts w:hint="eastAsia" w:ascii="宋体" w:hAnsi="宋体" w:eastAsia="宋体" w:cs="宋体"/>
              <w:szCs w:val="28"/>
              <w:shd w:val="clear" w:color="auto" w:fill="FFFFFF"/>
            </w:rPr>
            <w:fldChar w:fldCharType="separate"/>
          </w:r>
          <w:r>
            <w:rPr>
              <w:rFonts w:hint="eastAsia"/>
            </w:rPr>
            <w:t>6.培育高水平竞技品牌赛事，打造市级体育竞赛体系</w:t>
          </w:r>
          <w:r>
            <w:tab/>
          </w:r>
          <w:r>
            <w:fldChar w:fldCharType="begin"/>
          </w:r>
          <w:r>
            <w:instrText xml:space="preserve"> PAGEREF _Toc8201 \h </w:instrText>
          </w:r>
          <w:r>
            <w:fldChar w:fldCharType="separate"/>
          </w:r>
          <w:r>
            <w:t>14</w:t>
          </w:r>
          <w:r>
            <w:fldChar w:fldCharType="end"/>
          </w:r>
          <w:r>
            <w:rPr>
              <w:rFonts w:hint="eastAsia" w:ascii="宋体" w:hAnsi="宋体" w:eastAsia="宋体" w:cs="宋体"/>
              <w:szCs w:val="28"/>
              <w:shd w:val="clear" w:color="auto" w:fill="FFFFFF"/>
            </w:rPr>
            <w:fldChar w:fldCharType="end"/>
          </w:r>
        </w:p>
        <w:p>
          <w:pPr>
            <w:pStyle w:val="11"/>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_Toc18321 </w:instrText>
          </w:r>
          <w:r>
            <w:rPr>
              <w:rFonts w:hint="eastAsia" w:ascii="宋体" w:hAnsi="宋体" w:eastAsia="宋体" w:cs="宋体"/>
              <w:szCs w:val="28"/>
              <w:shd w:val="clear" w:color="auto" w:fill="FFFFFF"/>
            </w:rPr>
            <w:fldChar w:fldCharType="separate"/>
          </w:r>
          <w:r>
            <w:rPr>
              <w:rFonts w:hint="eastAsia"/>
            </w:rPr>
            <w:t>（八）充分利用自身优势，推进体育产业创新发展</w:t>
          </w:r>
          <w:r>
            <w:tab/>
          </w:r>
          <w:r>
            <w:fldChar w:fldCharType="begin"/>
          </w:r>
          <w:r>
            <w:instrText xml:space="preserve"> PAGEREF _Toc18321 \h </w:instrText>
          </w:r>
          <w:r>
            <w:fldChar w:fldCharType="separate"/>
          </w:r>
          <w:r>
            <w:t>15</w:t>
          </w:r>
          <w:r>
            <w:fldChar w:fldCharType="end"/>
          </w:r>
          <w:r>
            <w:rPr>
              <w:rFonts w:hint="eastAsia" w:ascii="宋体" w:hAnsi="宋体" w:eastAsia="宋体" w:cs="宋体"/>
              <w:szCs w:val="28"/>
              <w:shd w:val="clear" w:color="auto" w:fill="FFFFFF"/>
            </w:rPr>
            <w:fldChar w:fldCharType="end"/>
          </w:r>
        </w:p>
        <w:p>
          <w:pPr>
            <w:pStyle w:val="7"/>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_Toc30323 </w:instrText>
          </w:r>
          <w:r>
            <w:rPr>
              <w:rFonts w:hint="eastAsia" w:ascii="宋体" w:hAnsi="宋体" w:eastAsia="宋体" w:cs="宋体"/>
              <w:szCs w:val="28"/>
              <w:shd w:val="clear" w:color="auto" w:fill="FFFFFF"/>
            </w:rPr>
            <w:fldChar w:fldCharType="separate"/>
          </w:r>
          <w:r>
            <w:rPr>
              <w:rFonts w:hint="eastAsia"/>
              <w:szCs w:val="22"/>
              <w:lang w:val="en-US" w:eastAsia="zh-CN"/>
            </w:rPr>
            <w:t>1</w:t>
          </w:r>
          <w:r>
            <w:rPr>
              <w:rFonts w:hint="eastAsia"/>
              <w:szCs w:val="22"/>
            </w:rPr>
            <w:t>.激发市场主体活力</w:t>
          </w:r>
          <w:r>
            <w:tab/>
          </w:r>
          <w:r>
            <w:fldChar w:fldCharType="begin"/>
          </w:r>
          <w:r>
            <w:instrText xml:space="preserve"> PAGEREF _Toc30323 \h </w:instrText>
          </w:r>
          <w:r>
            <w:fldChar w:fldCharType="separate"/>
          </w:r>
          <w:r>
            <w:t>15</w:t>
          </w:r>
          <w:r>
            <w:fldChar w:fldCharType="end"/>
          </w:r>
          <w:r>
            <w:rPr>
              <w:rFonts w:hint="eastAsia" w:ascii="宋体" w:hAnsi="宋体" w:eastAsia="宋体" w:cs="宋体"/>
              <w:szCs w:val="28"/>
              <w:shd w:val="clear" w:color="auto" w:fill="FFFFFF"/>
            </w:rPr>
            <w:fldChar w:fldCharType="end"/>
          </w:r>
        </w:p>
        <w:p>
          <w:pPr>
            <w:pStyle w:val="7"/>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_Toc20240 </w:instrText>
          </w:r>
          <w:r>
            <w:rPr>
              <w:rFonts w:hint="eastAsia" w:ascii="宋体" w:hAnsi="宋体" w:eastAsia="宋体" w:cs="宋体"/>
              <w:szCs w:val="28"/>
              <w:shd w:val="clear" w:color="auto" w:fill="FFFFFF"/>
            </w:rPr>
            <w:fldChar w:fldCharType="separate"/>
          </w:r>
          <w:r>
            <w:rPr>
              <w:rFonts w:hint="eastAsia"/>
              <w:szCs w:val="22"/>
              <w:lang w:val="en-US" w:eastAsia="zh-CN"/>
            </w:rPr>
            <w:t>2</w:t>
          </w:r>
          <w:r>
            <w:rPr>
              <w:rFonts w:hint="eastAsia"/>
              <w:szCs w:val="22"/>
            </w:rPr>
            <w:t>.丰富体育赛事活动</w:t>
          </w:r>
          <w:r>
            <w:tab/>
          </w:r>
          <w:r>
            <w:fldChar w:fldCharType="begin"/>
          </w:r>
          <w:r>
            <w:instrText xml:space="preserve"> PAGEREF _Toc20240 \h </w:instrText>
          </w:r>
          <w:r>
            <w:fldChar w:fldCharType="separate"/>
          </w:r>
          <w:r>
            <w:t>15</w:t>
          </w:r>
          <w:r>
            <w:fldChar w:fldCharType="end"/>
          </w:r>
          <w:r>
            <w:rPr>
              <w:rFonts w:hint="eastAsia" w:ascii="宋体" w:hAnsi="宋体" w:eastAsia="宋体" w:cs="宋体"/>
              <w:szCs w:val="28"/>
              <w:shd w:val="clear" w:color="auto" w:fill="FFFFFF"/>
            </w:rPr>
            <w:fldChar w:fldCharType="end"/>
          </w:r>
        </w:p>
        <w:p>
          <w:pPr>
            <w:pStyle w:val="7"/>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_Toc21601 </w:instrText>
          </w:r>
          <w:r>
            <w:rPr>
              <w:rFonts w:hint="eastAsia" w:ascii="宋体" w:hAnsi="宋体" w:eastAsia="宋体" w:cs="宋体"/>
              <w:szCs w:val="28"/>
              <w:shd w:val="clear" w:color="auto" w:fill="FFFFFF"/>
            </w:rPr>
            <w:fldChar w:fldCharType="separate"/>
          </w:r>
          <w:r>
            <w:rPr>
              <w:rFonts w:hint="eastAsia"/>
              <w:szCs w:val="22"/>
              <w:lang w:val="en-US" w:eastAsia="zh-CN"/>
            </w:rPr>
            <w:t>3.</w:t>
          </w:r>
          <w:r>
            <w:rPr>
              <w:rFonts w:hint="eastAsia"/>
              <w:szCs w:val="22"/>
            </w:rPr>
            <w:t>开发健身休闲服务产业</w:t>
          </w:r>
          <w:r>
            <w:tab/>
          </w:r>
          <w:r>
            <w:fldChar w:fldCharType="begin"/>
          </w:r>
          <w:r>
            <w:instrText xml:space="preserve"> PAGEREF _Toc21601 \h </w:instrText>
          </w:r>
          <w:r>
            <w:fldChar w:fldCharType="separate"/>
          </w:r>
          <w:r>
            <w:t>15</w:t>
          </w:r>
          <w:r>
            <w:fldChar w:fldCharType="end"/>
          </w:r>
          <w:r>
            <w:rPr>
              <w:rFonts w:hint="eastAsia" w:ascii="宋体" w:hAnsi="宋体" w:eastAsia="宋体" w:cs="宋体"/>
              <w:szCs w:val="28"/>
              <w:shd w:val="clear" w:color="auto" w:fill="FFFFFF"/>
            </w:rPr>
            <w:fldChar w:fldCharType="end"/>
          </w:r>
        </w:p>
        <w:p>
          <w:pPr>
            <w:pStyle w:val="7"/>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_Toc6696 </w:instrText>
          </w:r>
          <w:r>
            <w:rPr>
              <w:rFonts w:hint="eastAsia" w:ascii="宋体" w:hAnsi="宋体" w:eastAsia="宋体" w:cs="宋体"/>
              <w:szCs w:val="28"/>
              <w:shd w:val="clear" w:color="auto" w:fill="FFFFFF"/>
            </w:rPr>
            <w:fldChar w:fldCharType="separate"/>
          </w:r>
          <w:r>
            <w:rPr>
              <w:rFonts w:hint="eastAsia"/>
              <w:szCs w:val="22"/>
              <w:lang w:val="en-US" w:eastAsia="zh-CN"/>
            </w:rPr>
            <w:t>4</w:t>
          </w:r>
          <w:r>
            <w:rPr>
              <w:rFonts w:hint="eastAsia"/>
              <w:szCs w:val="22"/>
            </w:rPr>
            <w:t>.实施健身消费促进计划</w:t>
          </w:r>
          <w:r>
            <w:tab/>
          </w:r>
          <w:r>
            <w:fldChar w:fldCharType="begin"/>
          </w:r>
          <w:r>
            <w:instrText xml:space="preserve"> PAGEREF _Toc6696 \h </w:instrText>
          </w:r>
          <w:r>
            <w:fldChar w:fldCharType="separate"/>
          </w:r>
          <w:r>
            <w:t>16</w:t>
          </w:r>
          <w:r>
            <w:fldChar w:fldCharType="end"/>
          </w:r>
          <w:r>
            <w:rPr>
              <w:rFonts w:hint="eastAsia" w:ascii="宋体" w:hAnsi="宋体" w:eastAsia="宋体" w:cs="宋体"/>
              <w:szCs w:val="28"/>
              <w:shd w:val="clear" w:color="auto" w:fill="FFFFFF"/>
            </w:rPr>
            <w:fldChar w:fldCharType="end"/>
          </w:r>
        </w:p>
        <w:p>
          <w:pPr>
            <w:pStyle w:val="7"/>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_Toc32273 </w:instrText>
          </w:r>
          <w:r>
            <w:rPr>
              <w:rFonts w:hint="eastAsia" w:ascii="宋体" w:hAnsi="宋体" w:eastAsia="宋体" w:cs="宋体"/>
              <w:szCs w:val="28"/>
              <w:shd w:val="clear" w:color="auto" w:fill="FFFFFF"/>
            </w:rPr>
            <w:fldChar w:fldCharType="separate"/>
          </w:r>
          <w:r>
            <w:rPr>
              <w:rFonts w:hint="eastAsia"/>
              <w:szCs w:val="22"/>
              <w:lang w:val="en-US" w:eastAsia="zh-CN"/>
            </w:rPr>
            <w:t>5</w:t>
          </w:r>
          <w:r>
            <w:rPr>
              <w:rFonts w:hint="eastAsia"/>
              <w:szCs w:val="22"/>
            </w:rPr>
            <w:t>.建立健全服务保障体系</w:t>
          </w:r>
          <w:r>
            <w:tab/>
          </w:r>
          <w:r>
            <w:fldChar w:fldCharType="begin"/>
          </w:r>
          <w:r>
            <w:instrText xml:space="preserve"> PAGEREF _Toc32273 \h </w:instrText>
          </w:r>
          <w:r>
            <w:fldChar w:fldCharType="separate"/>
          </w:r>
          <w:r>
            <w:t>16</w:t>
          </w:r>
          <w:r>
            <w:fldChar w:fldCharType="end"/>
          </w:r>
          <w:r>
            <w:rPr>
              <w:rFonts w:hint="eastAsia" w:ascii="宋体" w:hAnsi="宋体" w:eastAsia="宋体" w:cs="宋体"/>
              <w:szCs w:val="28"/>
              <w:shd w:val="clear" w:color="auto" w:fill="FFFFFF"/>
            </w:rPr>
            <w:fldChar w:fldCharType="end"/>
          </w:r>
        </w:p>
        <w:p>
          <w:pPr>
            <w:pStyle w:val="7"/>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_Toc20296 </w:instrText>
          </w:r>
          <w:r>
            <w:rPr>
              <w:rFonts w:hint="eastAsia" w:ascii="宋体" w:hAnsi="宋体" w:eastAsia="宋体" w:cs="宋体"/>
              <w:szCs w:val="28"/>
              <w:shd w:val="clear" w:color="auto" w:fill="FFFFFF"/>
            </w:rPr>
            <w:fldChar w:fldCharType="separate"/>
          </w:r>
          <w:r>
            <w:rPr>
              <w:rFonts w:hint="eastAsia"/>
              <w:szCs w:val="22"/>
              <w:lang w:val="en-US" w:eastAsia="zh-CN"/>
            </w:rPr>
            <w:t>6</w:t>
          </w:r>
          <w:r>
            <w:rPr>
              <w:rFonts w:hint="eastAsia"/>
              <w:szCs w:val="22"/>
            </w:rPr>
            <w:t>.推动体育彩票健康发展</w:t>
          </w:r>
          <w:r>
            <w:tab/>
          </w:r>
          <w:r>
            <w:fldChar w:fldCharType="begin"/>
          </w:r>
          <w:r>
            <w:instrText xml:space="preserve"> PAGEREF _Toc20296 \h </w:instrText>
          </w:r>
          <w:r>
            <w:fldChar w:fldCharType="separate"/>
          </w:r>
          <w:r>
            <w:t>17</w:t>
          </w:r>
          <w:r>
            <w:fldChar w:fldCharType="end"/>
          </w:r>
          <w:r>
            <w:rPr>
              <w:rFonts w:hint="eastAsia" w:ascii="宋体" w:hAnsi="宋体" w:eastAsia="宋体" w:cs="宋体"/>
              <w:szCs w:val="28"/>
              <w:shd w:val="clear" w:color="auto" w:fill="FFFFFF"/>
            </w:rPr>
            <w:fldChar w:fldCharType="end"/>
          </w:r>
        </w:p>
        <w:p>
          <w:pPr>
            <w:pStyle w:val="11"/>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_Toc20157 </w:instrText>
          </w:r>
          <w:r>
            <w:rPr>
              <w:rFonts w:hint="eastAsia" w:ascii="宋体" w:hAnsi="宋体" w:eastAsia="宋体" w:cs="宋体"/>
              <w:szCs w:val="28"/>
              <w:shd w:val="clear" w:color="auto" w:fill="FFFFFF"/>
            </w:rPr>
            <w:fldChar w:fldCharType="separate"/>
          </w:r>
          <w:r>
            <w:rPr>
              <w:rFonts w:hint="eastAsia"/>
            </w:rPr>
            <w:t>（九）营造体育文化氛围，促进体育文化发展</w:t>
          </w:r>
          <w:r>
            <w:tab/>
          </w:r>
          <w:r>
            <w:fldChar w:fldCharType="begin"/>
          </w:r>
          <w:r>
            <w:instrText xml:space="preserve"> PAGEREF _Toc20157 \h </w:instrText>
          </w:r>
          <w:r>
            <w:fldChar w:fldCharType="separate"/>
          </w:r>
          <w:r>
            <w:t>17</w:t>
          </w:r>
          <w:r>
            <w:fldChar w:fldCharType="end"/>
          </w:r>
          <w:r>
            <w:rPr>
              <w:rFonts w:hint="eastAsia" w:ascii="宋体" w:hAnsi="宋体" w:eastAsia="宋体" w:cs="宋体"/>
              <w:szCs w:val="28"/>
              <w:shd w:val="clear" w:color="auto" w:fill="FFFFFF"/>
            </w:rPr>
            <w:fldChar w:fldCharType="end"/>
          </w:r>
        </w:p>
        <w:p>
          <w:pPr>
            <w:pStyle w:val="7"/>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_Toc31040 </w:instrText>
          </w:r>
          <w:r>
            <w:rPr>
              <w:rFonts w:hint="eastAsia" w:ascii="宋体" w:hAnsi="宋体" w:eastAsia="宋体" w:cs="宋体"/>
              <w:szCs w:val="28"/>
              <w:shd w:val="clear" w:color="auto" w:fill="FFFFFF"/>
            </w:rPr>
            <w:fldChar w:fldCharType="separate"/>
          </w:r>
          <w:r>
            <w:rPr>
              <w:rFonts w:hint="eastAsia"/>
              <w:szCs w:val="22"/>
            </w:rPr>
            <w:t>1.加强阵地建设，传承传统文化</w:t>
          </w:r>
          <w:r>
            <w:tab/>
          </w:r>
          <w:r>
            <w:fldChar w:fldCharType="begin"/>
          </w:r>
          <w:r>
            <w:instrText xml:space="preserve"> PAGEREF _Toc31040 \h </w:instrText>
          </w:r>
          <w:r>
            <w:fldChar w:fldCharType="separate"/>
          </w:r>
          <w:r>
            <w:t>17</w:t>
          </w:r>
          <w:r>
            <w:fldChar w:fldCharType="end"/>
          </w:r>
          <w:r>
            <w:rPr>
              <w:rFonts w:hint="eastAsia" w:ascii="宋体" w:hAnsi="宋体" w:eastAsia="宋体" w:cs="宋体"/>
              <w:szCs w:val="28"/>
              <w:shd w:val="clear" w:color="auto" w:fill="FFFFFF"/>
            </w:rPr>
            <w:fldChar w:fldCharType="end"/>
          </w:r>
        </w:p>
        <w:p>
          <w:pPr>
            <w:pStyle w:val="7"/>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_Toc14471 </w:instrText>
          </w:r>
          <w:r>
            <w:rPr>
              <w:rFonts w:hint="eastAsia" w:ascii="宋体" w:hAnsi="宋体" w:eastAsia="宋体" w:cs="宋体"/>
              <w:szCs w:val="28"/>
              <w:shd w:val="clear" w:color="auto" w:fill="FFFFFF"/>
            </w:rPr>
            <w:fldChar w:fldCharType="separate"/>
          </w:r>
          <w:r>
            <w:rPr>
              <w:rFonts w:hint="eastAsia"/>
              <w:szCs w:val="22"/>
            </w:rPr>
            <w:t>2.坚定体育自信，弘扬体育精神</w:t>
          </w:r>
          <w:r>
            <w:tab/>
          </w:r>
          <w:r>
            <w:fldChar w:fldCharType="begin"/>
          </w:r>
          <w:r>
            <w:instrText xml:space="preserve"> PAGEREF _Toc14471 \h </w:instrText>
          </w:r>
          <w:r>
            <w:fldChar w:fldCharType="separate"/>
          </w:r>
          <w:r>
            <w:t>17</w:t>
          </w:r>
          <w:r>
            <w:fldChar w:fldCharType="end"/>
          </w:r>
          <w:r>
            <w:rPr>
              <w:rFonts w:hint="eastAsia" w:ascii="宋体" w:hAnsi="宋体" w:eastAsia="宋体" w:cs="宋体"/>
              <w:szCs w:val="28"/>
              <w:shd w:val="clear" w:color="auto" w:fill="FFFFFF"/>
            </w:rPr>
            <w:fldChar w:fldCharType="end"/>
          </w:r>
        </w:p>
        <w:p>
          <w:pPr>
            <w:pStyle w:val="7"/>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_Toc20974 </w:instrText>
          </w:r>
          <w:r>
            <w:rPr>
              <w:rFonts w:hint="eastAsia" w:ascii="宋体" w:hAnsi="宋体" w:eastAsia="宋体" w:cs="宋体"/>
              <w:szCs w:val="28"/>
              <w:shd w:val="clear" w:color="auto" w:fill="FFFFFF"/>
            </w:rPr>
            <w:fldChar w:fldCharType="separate"/>
          </w:r>
          <w:r>
            <w:rPr>
              <w:rFonts w:hint="eastAsia"/>
              <w:szCs w:val="22"/>
            </w:rPr>
            <w:t xml:space="preserve">3.讲好体育故事，推动文化建设 </w:t>
          </w:r>
          <w:r>
            <w:tab/>
          </w:r>
          <w:r>
            <w:fldChar w:fldCharType="begin"/>
          </w:r>
          <w:r>
            <w:instrText xml:space="preserve"> PAGEREF _Toc20974 \h </w:instrText>
          </w:r>
          <w:r>
            <w:fldChar w:fldCharType="separate"/>
          </w:r>
          <w:r>
            <w:t>18</w:t>
          </w:r>
          <w:r>
            <w:fldChar w:fldCharType="end"/>
          </w:r>
          <w:r>
            <w:rPr>
              <w:rFonts w:hint="eastAsia" w:ascii="宋体" w:hAnsi="宋体" w:eastAsia="宋体" w:cs="宋体"/>
              <w:szCs w:val="28"/>
              <w:shd w:val="clear" w:color="auto" w:fill="FFFFFF"/>
            </w:rPr>
            <w:fldChar w:fldCharType="end"/>
          </w:r>
        </w:p>
        <w:p>
          <w:pPr>
            <w:pStyle w:val="7"/>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_Toc1269 </w:instrText>
          </w:r>
          <w:r>
            <w:rPr>
              <w:rFonts w:hint="eastAsia" w:ascii="宋体" w:hAnsi="宋体" w:eastAsia="宋体" w:cs="宋体"/>
              <w:szCs w:val="28"/>
              <w:shd w:val="clear" w:color="auto" w:fill="FFFFFF"/>
            </w:rPr>
            <w:fldChar w:fldCharType="separate"/>
          </w:r>
          <w:r>
            <w:rPr>
              <w:rFonts w:hint="eastAsia"/>
              <w:szCs w:val="22"/>
            </w:rPr>
            <w:t>4.丰富体育产品 ，构建合作新局</w:t>
          </w:r>
          <w:r>
            <w:tab/>
          </w:r>
          <w:r>
            <w:fldChar w:fldCharType="begin"/>
          </w:r>
          <w:r>
            <w:instrText xml:space="preserve"> PAGEREF _Toc1269 \h </w:instrText>
          </w:r>
          <w:r>
            <w:fldChar w:fldCharType="separate"/>
          </w:r>
          <w:r>
            <w:t>18</w:t>
          </w:r>
          <w:r>
            <w:fldChar w:fldCharType="end"/>
          </w:r>
          <w:r>
            <w:rPr>
              <w:rFonts w:hint="eastAsia" w:ascii="宋体" w:hAnsi="宋体" w:eastAsia="宋体" w:cs="宋体"/>
              <w:szCs w:val="28"/>
              <w:shd w:val="clear" w:color="auto" w:fill="FFFFFF"/>
            </w:rPr>
            <w:fldChar w:fldCharType="end"/>
          </w:r>
        </w:p>
        <w:p>
          <w:pPr>
            <w:pStyle w:val="11"/>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_Toc8032 </w:instrText>
          </w:r>
          <w:r>
            <w:rPr>
              <w:rFonts w:hint="eastAsia" w:ascii="宋体" w:hAnsi="宋体" w:eastAsia="宋体" w:cs="宋体"/>
              <w:szCs w:val="28"/>
              <w:shd w:val="clear" w:color="auto" w:fill="FFFFFF"/>
            </w:rPr>
            <w:fldChar w:fldCharType="separate"/>
          </w:r>
          <w:r>
            <w:rPr>
              <w:rFonts w:hint="eastAsia"/>
            </w:rPr>
            <w:t>（十）实施青少年体育筑基强体行动，提高体质健康水平</w:t>
          </w:r>
          <w:r>
            <w:tab/>
          </w:r>
          <w:r>
            <w:fldChar w:fldCharType="begin"/>
          </w:r>
          <w:r>
            <w:instrText xml:space="preserve"> PAGEREF _Toc8032 \h </w:instrText>
          </w:r>
          <w:r>
            <w:fldChar w:fldCharType="separate"/>
          </w:r>
          <w:r>
            <w:t>19</w:t>
          </w:r>
          <w:r>
            <w:fldChar w:fldCharType="end"/>
          </w:r>
          <w:r>
            <w:rPr>
              <w:rFonts w:hint="eastAsia" w:ascii="宋体" w:hAnsi="宋体" w:eastAsia="宋体" w:cs="宋体"/>
              <w:szCs w:val="28"/>
              <w:shd w:val="clear" w:color="auto" w:fill="FFFFFF"/>
            </w:rPr>
            <w:fldChar w:fldCharType="end"/>
          </w:r>
        </w:p>
        <w:p>
          <w:pPr>
            <w:pStyle w:val="7"/>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_Toc25100 </w:instrText>
          </w:r>
          <w:r>
            <w:rPr>
              <w:rFonts w:hint="eastAsia" w:ascii="宋体" w:hAnsi="宋体" w:eastAsia="宋体" w:cs="宋体"/>
              <w:szCs w:val="28"/>
              <w:shd w:val="clear" w:color="auto" w:fill="FFFFFF"/>
            </w:rPr>
            <w:fldChar w:fldCharType="separate"/>
          </w:r>
          <w:r>
            <w:rPr>
              <w:rFonts w:hint="eastAsia"/>
            </w:rPr>
            <w:t>1.全面提升体育与健康课程人才培养质量</w:t>
          </w:r>
          <w:r>
            <w:tab/>
          </w:r>
          <w:r>
            <w:fldChar w:fldCharType="begin"/>
          </w:r>
          <w:r>
            <w:instrText xml:space="preserve"> PAGEREF _Toc25100 \h </w:instrText>
          </w:r>
          <w:r>
            <w:fldChar w:fldCharType="separate"/>
          </w:r>
          <w:r>
            <w:t>19</w:t>
          </w:r>
          <w:r>
            <w:fldChar w:fldCharType="end"/>
          </w:r>
          <w:r>
            <w:rPr>
              <w:rFonts w:hint="eastAsia" w:ascii="宋体" w:hAnsi="宋体" w:eastAsia="宋体" w:cs="宋体"/>
              <w:szCs w:val="28"/>
              <w:shd w:val="clear" w:color="auto" w:fill="FFFFFF"/>
            </w:rPr>
            <w:fldChar w:fldCharType="end"/>
          </w:r>
        </w:p>
        <w:p>
          <w:pPr>
            <w:pStyle w:val="7"/>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_Toc7918 </w:instrText>
          </w:r>
          <w:r>
            <w:rPr>
              <w:rFonts w:hint="eastAsia" w:ascii="宋体" w:hAnsi="宋体" w:eastAsia="宋体" w:cs="宋体"/>
              <w:szCs w:val="28"/>
              <w:shd w:val="clear" w:color="auto" w:fill="FFFFFF"/>
            </w:rPr>
            <w:fldChar w:fldCharType="separate"/>
          </w:r>
          <w:r>
            <w:rPr>
              <w:rFonts w:hint="eastAsia"/>
            </w:rPr>
            <w:t>2.加强体育传统特色学校建设</w:t>
          </w:r>
          <w:r>
            <w:tab/>
          </w:r>
          <w:r>
            <w:fldChar w:fldCharType="begin"/>
          </w:r>
          <w:r>
            <w:instrText xml:space="preserve"> PAGEREF _Toc7918 \h </w:instrText>
          </w:r>
          <w:r>
            <w:fldChar w:fldCharType="separate"/>
          </w:r>
          <w:r>
            <w:t>19</w:t>
          </w:r>
          <w:r>
            <w:fldChar w:fldCharType="end"/>
          </w:r>
          <w:r>
            <w:rPr>
              <w:rFonts w:hint="eastAsia" w:ascii="宋体" w:hAnsi="宋体" w:eastAsia="宋体" w:cs="宋体"/>
              <w:szCs w:val="28"/>
              <w:shd w:val="clear" w:color="auto" w:fill="FFFFFF"/>
            </w:rPr>
            <w:fldChar w:fldCharType="end"/>
          </w:r>
        </w:p>
        <w:p>
          <w:pPr>
            <w:pStyle w:val="7"/>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_Toc27022 </w:instrText>
          </w:r>
          <w:r>
            <w:rPr>
              <w:rFonts w:hint="eastAsia" w:ascii="宋体" w:hAnsi="宋体" w:eastAsia="宋体" w:cs="宋体"/>
              <w:szCs w:val="28"/>
              <w:shd w:val="clear" w:color="auto" w:fill="FFFFFF"/>
            </w:rPr>
            <w:fldChar w:fldCharType="separate"/>
          </w:r>
          <w:r>
            <w:rPr>
              <w:rFonts w:hint="eastAsia"/>
            </w:rPr>
            <w:t>3.丰富青少年竞赛供给</w:t>
          </w:r>
          <w:r>
            <w:tab/>
          </w:r>
          <w:r>
            <w:fldChar w:fldCharType="begin"/>
          </w:r>
          <w:r>
            <w:instrText xml:space="preserve"> PAGEREF _Toc27022 \h </w:instrText>
          </w:r>
          <w:r>
            <w:fldChar w:fldCharType="separate"/>
          </w:r>
          <w:r>
            <w:t>20</w:t>
          </w:r>
          <w:r>
            <w:fldChar w:fldCharType="end"/>
          </w:r>
          <w:r>
            <w:rPr>
              <w:rFonts w:hint="eastAsia" w:ascii="宋体" w:hAnsi="宋体" w:eastAsia="宋体" w:cs="宋体"/>
              <w:szCs w:val="28"/>
              <w:shd w:val="clear" w:color="auto" w:fill="FFFFFF"/>
            </w:rPr>
            <w:fldChar w:fldCharType="end"/>
          </w:r>
        </w:p>
        <w:p>
          <w:pPr>
            <w:pStyle w:val="7"/>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_Toc5643 </w:instrText>
          </w:r>
          <w:r>
            <w:rPr>
              <w:rFonts w:hint="eastAsia" w:ascii="宋体" w:hAnsi="宋体" w:eastAsia="宋体" w:cs="宋体"/>
              <w:szCs w:val="28"/>
              <w:shd w:val="clear" w:color="auto" w:fill="FFFFFF"/>
            </w:rPr>
            <w:fldChar w:fldCharType="separate"/>
          </w:r>
          <w:r>
            <w:rPr>
              <w:rFonts w:hint="eastAsia"/>
            </w:rPr>
            <w:t>4.深化体教结合改革</w:t>
          </w:r>
          <w:r>
            <w:tab/>
          </w:r>
          <w:r>
            <w:fldChar w:fldCharType="begin"/>
          </w:r>
          <w:r>
            <w:instrText xml:space="preserve"> PAGEREF _Toc5643 \h </w:instrText>
          </w:r>
          <w:r>
            <w:fldChar w:fldCharType="separate"/>
          </w:r>
          <w:r>
            <w:t>20</w:t>
          </w:r>
          <w:r>
            <w:fldChar w:fldCharType="end"/>
          </w:r>
          <w:r>
            <w:rPr>
              <w:rFonts w:hint="eastAsia" w:ascii="宋体" w:hAnsi="宋体" w:eastAsia="宋体" w:cs="宋体"/>
              <w:szCs w:val="28"/>
              <w:shd w:val="clear" w:color="auto" w:fill="FFFFFF"/>
            </w:rPr>
            <w:fldChar w:fldCharType="end"/>
          </w:r>
        </w:p>
        <w:p>
          <w:pPr>
            <w:pStyle w:val="11"/>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_Toc31467 </w:instrText>
          </w:r>
          <w:r>
            <w:rPr>
              <w:rFonts w:hint="eastAsia" w:ascii="宋体" w:hAnsi="宋体" w:eastAsia="宋体" w:cs="宋体"/>
              <w:szCs w:val="28"/>
              <w:shd w:val="clear" w:color="auto" w:fill="FFFFFF"/>
            </w:rPr>
            <w:fldChar w:fldCharType="separate"/>
          </w:r>
          <w:r>
            <w:rPr>
              <w:rFonts w:hint="eastAsia"/>
            </w:rPr>
            <w:t>（十</w:t>
          </w:r>
          <w:r>
            <w:rPr>
              <w:rFonts w:hint="eastAsia"/>
              <w:lang w:val="en-US" w:eastAsia="zh-CN"/>
            </w:rPr>
            <w:t>一</w:t>
          </w:r>
          <w:r>
            <w:rPr>
              <w:rFonts w:hint="eastAsia"/>
            </w:rPr>
            <w:t>）强化依法行政，推进体育法治建设工作</w:t>
          </w:r>
          <w:r>
            <w:tab/>
          </w:r>
          <w:r>
            <w:fldChar w:fldCharType="begin"/>
          </w:r>
          <w:r>
            <w:instrText xml:space="preserve"> PAGEREF _Toc31467 \h </w:instrText>
          </w:r>
          <w:r>
            <w:fldChar w:fldCharType="separate"/>
          </w:r>
          <w:r>
            <w:t>20</w:t>
          </w:r>
          <w:r>
            <w:fldChar w:fldCharType="end"/>
          </w:r>
          <w:r>
            <w:rPr>
              <w:rFonts w:hint="eastAsia" w:ascii="宋体" w:hAnsi="宋体" w:eastAsia="宋体" w:cs="宋体"/>
              <w:szCs w:val="28"/>
              <w:shd w:val="clear" w:color="auto" w:fill="FFFFFF"/>
            </w:rPr>
            <w:fldChar w:fldCharType="end"/>
          </w:r>
        </w:p>
        <w:p>
          <w:pPr>
            <w:pStyle w:val="7"/>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_Toc7921 </w:instrText>
          </w:r>
          <w:r>
            <w:rPr>
              <w:rFonts w:hint="eastAsia" w:ascii="宋体" w:hAnsi="宋体" w:eastAsia="宋体" w:cs="宋体"/>
              <w:szCs w:val="28"/>
              <w:shd w:val="clear" w:color="auto" w:fill="FFFFFF"/>
            </w:rPr>
            <w:fldChar w:fldCharType="separate"/>
          </w:r>
          <w:r>
            <w:rPr>
              <w:rFonts w:hint="eastAsia"/>
            </w:rPr>
            <w:t>1.完善体育规章制度，强化体育发展法律支持</w:t>
          </w:r>
          <w:r>
            <w:tab/>
          </w:r>
          <w:r>
            <w:fldChar w:fldCharType="begin"/>
          </w:r>
          <w:r>
            <w:instrText xml:space="preserve"> PAGEREF _Toc7921 \h </w:instrText>
          </w:r>
          <w:r>
            <w:fldChar w:fldCharType="separate"/>
          </w:r>
          <w:r>
            <w:t>20</w:t>
          </w:r>
          <w:r>
            <w:fldChar w:fldCharType="end"/>
          </w:r>
          <w:r>
            <w:rPr>
              <w:rFonts w:hint="eastAsia" w:ascii="宋体" w:hAnsi="宋体" w:eastAsia="宋体" w:cs="宋体"/>
              <w:szCs w:val="28"/>
              <w:shd w:val="clear" w:color="auto" w:fill="FFFFFF"/>
            </w:rPr>
            <w:fldChar w:fldCharType="end"/>
          </w:r>
        </w:p>
        <w:p>
          <w:pPr>
            <w:pStyle w:val="7"/>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_Toc17886 </w:instrText>
          </w:r>
          <w:r>
            <w:rPr>
              <w:rFonts w:hint="eastAsia" w:ascii="宋体" w:hAnsi="宋体" w:eastAsia="宋体" w:cs="宋体"/>
              <w:szCs w:val="28"/>
              <w:shd w:val="clear" w:color="auto" w:fill="FFFFFF"/>
            </w:rPr>
            <w:fldChar w:fldCharType="separate"/>
          </w:r>
          <w:r>
            <w:rPr>
              <w:rFonts w:hint="eastAsia"/>
            </w:rPr>
            <w:t>2.规范体育行政执法，提升体育市场监管水平</w:t>
          </w:r>
          <w:r>
            <w:tab/>
          </w:r>
          <w:r>
            <w:fldChar w:fldCharType="begin"/>
          </w:r>
          <w:r>
            <w:instrText xml:space="preserve"> PAGEREF _Toc17886 \h </w:instrText>
          </w:r>
          <w:r>
            <w:fldChar w:fldCharType="separate"/>
          </w:r>
          <w:r>
            <w:t>21</w:t>
          </w:r>
          <w:r>
            <w:fldChar w:fldCharType="end"/>
          </w:r>
          <w:r>
            <w:rPr>
              <w:rFonts w:hint="eastAsia" w:ascii="宋体" w:hAnsi="宋体" w:eastAsia="宋体" w:cs="宋体"/>
              <w:szCs w:val="28"/>
              <w:shd w:val="clear" w:color="auto" w:fill="FFFFFF"/>
            </w:rPr>
            <w:fldChar w:fldCharType="end"/>
          </w:r>
        </w:p>
        <w:p>
          <w:pPr>
            <w:pStyle w:val="7"/>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_Toc14157 </w:instrText>
          </w:r>
          <w:r>
            <w:rPr>
              <w:rFonts w:hint="eastAsia" w:ascii="宋体" w:hAnsi="宋体" w:eastAsia="宋体" w:cs="宋体"/>
              <w:szCs w:val="28"/>
              <w:shd w:val="clear" w:color="auto" w:fill="FFFFFF"/>
            </w:rPr>
            <w:fldChar w:fldCharType="separate"/>
          </w:r>
          <w:r>
            <w:rPr>
              <w:rFonts w:hint="eastAsia"/>
            </w:rPr>
            <w:t>3.加强法治宣传教育，营造尊法、学法、懂法、守法良好氛围</w:t>
          </w:r>
          <w:r>
            <w:tab/>
          </w:r>
          <w:r>
            <w:fldChar w:fldCharType="begin"/>
          </w:r>
          <w:r>
            <w:instrText xml:space="preserve"> PAGEREF _Toc14157 \h </w:instrText>
          </w:r>
          <w:r>
            <w:fldChar w:fldCharType="separate"/>
          </w:r>
          <w:r>
            <w:t>21</w:t>
          </w:r>
          <w:r>
            <w:fldChar w:fldCharType="end"/>
          </w:r>
          <w:r>
            <w:rPr>
              <w:rFonts w:hint="eastAsia" w:ascii="宋体" w:hAnsi="宋体" w:eastAsia="宋体" w:cs="宋体"/>
              <w:szCs w:val="28"/>
              <w:shd w:val="clear" w:color="auto" w:fill="FFFFFF"/>
            </w:rPr>
            <w:fldChar w:fldCharType="end"/>
          </w:r>
        </w:p>
        <w:p>
          <w:pPr>
            <w:pStyle w:val="10"/>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_Toc4814 </w:instrText>
          </w:r>
          <w:r>
            <w:rPr>
              <w:rFonts w:hint="eastAsia" w:ascii="宋体" w:hAnsi="宋体" w:eastAsia="宋体" w:cs="宋体"/>
              <w:szCs w:val="28"/>
              <w:shd w:val="clear" w:color="auto" w:fill="FFFFFF"/>
            </w:rPr>
            <w:fldChar w:fldCharType="separate"/>
          </w:r>
          <w:r>
            <w:t>四、为实现体育发展“十四五”规划而奋斗</w:t>
          </w:r>
          <w:r>
            <w:tab/>
          </w:r>
          <w:r>
            <w:fldChar w:fldCharType="begin"/>
          </w:r>
          <w:r>
            <w:instrText xml:space="preserve"> PAGEREF _Toc4814 \h </w:instrText>
          </w:r>
          <w:r>
            <w:fldChar w:fldCharType="separate"/>
          </w:r>
          <w:r>
            <w:t>21</w:t>
          </w:r>
          <w:r>
            <w:fldChar w:fldCharType="end"/>
          </w:r>
          <w:r>
            <w:rPr>
              <w:rFonts w:hint="eastAsia" w:ascii="宋体" w:hAnsi="宋体" w:eastAsia="宋体" w:cs="宋体"/>
              <w:szCs w:val="28"/>
              <w:shd w:val="clear" w:color="auto" w:fill="FFFFFF"/>
            </w:rPr>
            <w:fldChar w:fldCharType="end"/>
          </w:r>
        </w:p>
        <w:p>
          <w:pPr>
            <w:pStyle w:val="11"/>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_Toc2446 </w:instrText>
          </w:r>
          <w:r>
            <w:rPr>
              <w:rFonts w:hint="eastAsia" w:ascii="宋体" w:hAnsi="宋体" w:eastAsia="宋体" w:cs="宋体"/>
              <w:szCs w:val="28"/>
              <w:shd w:val="clear" w:color="auto" w:fill="FFFFFF"/>
            </w:rPr>
            <w:fldChar w:fldCharType="separate"/>
          </w:r>
          <w:r>
            <w:rPr>
              <w:rFonts w:hint="eastAsia"/>
            </w:rPr>
            <w:t>（</w:t>
          </w:r>
          <w:r>
            <w:rPr>
              <w:rFonts w:hint="eastAsia"/>
              <w:lang w:val="en-US" w:eastAsia="zh-CN"/>
            </w:rPr>
            <w:t>十二</w:t>
          </w:r>
          <w:r>
            <w:rPr>
              <w:rFonts w:hint="eastAsia"/>
            </w:rPr>
            <w:t>）加强组织领导</w:t>
          </w:r>
          <w:r>
            <w:tab/>
          </w:r>
          <w:r>
            <w:fldChar w:fldCharType="begin"/>
          </w:r>
          <w:r>
            <w:instrText xml:space="preserve"> PAGEREF _Toc2446 \h </w:instrText>
          </w:r>
          <w:r>
            <w:fldChar w:fldCharType="separate"/>
          </w:r>
          <w:r>
            <w:t>21</w:t>
          </w:r>
          <w:r>
            <w:fldChar w:fldCharType="end"/>
          </w:r>
          <w:r>
            <w:rPr>
              <w:rFonts w:hint="eastAsia" w:ascii="宋体" w:hAnsi="宋体" w:eastAsia="宋体" w:cs="宋体"/>
              <w:szCs w:val="28"/>
              <w:shd w:val="clear" w:color="auto" w:fill="FFFFFF"/>
            </w:rPr>
            <w:fldChar w:fldCharType="end"/>
          </w:r>
        </w:p>
        <w:p>
          <w:pPr>
            <w:pStyle w:val="11"/>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_Toc32625 </w:instrText>
          </w:r>
          <w:r>
            <w:rPr>
              <w:rFonts w:hint="eastAsia" w:ascii="宋体" w:hAnsi="宋体" w:eastAsia="宋体" w:cs="宋体"/>
              <w:szCs w:val="28"/>
              <w:shd w:val="clear" w:color="auto" w:fill="FFFFFF"/>
            </w:rPr>
            <w:fldChar w:fldCharType="separate"/>
          </w:r>
          <w:r>
            <w:rPr>
              <w:rFonts w:hint="eastAsia"/>
            </w:rPr>
            <w:t>（</w:t>
          </w:r>
          <w:r>
            <w:rPr>
              <w:rFonts w:hint="eastAsia"/>
              <w:lang w:val="en-US" w:eastAsia="zh-CN"/>
            </w:rPr>
            <w:t>十三</w:t>
          </w:r>
          <w:r>
            <w:rPr>
              <w:rFonts w:hint="eastAsia"/>
            </w:rPr>
            <w:t>）全面深化改革</w:t>
          </w:r>
          <w:r>
            <w:tab/>
          </w:r>
          <w:r>
            <w:fldChar w:fldCharType="begin"/>
          </w:r>
          <w:r>
            <w:instrText xml:space="preserve"> PAGEREF _Toc32625 \h </w:instrText>
          </w:r>
          <w:r>
            <w:fldChar w:fldCharType="separate"/>
          </w:r>
          <w:r>
            <w:t>22</w:t>
          </w:r>
          <w:r>
            <w:fldChar w:fldCharType="end"/>
          </w:r>
          <w:r>
            <w:rPr>
              <w:rFonts w:hint="eastAsia" w:ascii="宋体" w:hAnsi="宋体" w:eastAsia="宋体" w:cs="宋体"/>
              <w:szCs w:val="28"/>
              <w:shd w:val="clear" w:color="auto" w:fill="FFFFFF"/>
            </w:rPr>
            <w:fldChar w:fldCharType="end"/>
          </w:r>
        </w:p>
        <w:p>
          <w:pPr>
            <w:pStyle w:val="11"/>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_Toc28051 </w:instrText>
          </w:r>
          <w:r>
            <w:rPr>
              <w:rFonts w:hint="eastAsia" w:ascii="宋体" w:hAnsi="宋体" w:eastAsia="宋体" w:cs="宋体"/>
              <w:szCs w:val="28"/>
              <w:shd w:val="clear" w:color="auto" w:fill="FFFFFF"/>
            </w:rPr>
            <w:fldChar w:fldCharType="separate"/>
          </w:r>
          <w:r>
            <w:rPr>
              <w:rFonts w:hint="eastAsia"/>
            </w:rPr>
            <w:t>（</w:t>
          </w:r>
          <w:r>
            <w:rPr>
              <w:rFonts w:hint="eastAsia"/>
              <w:lang w:val="en-US" w:eastAsia="zh-CN"/>
            </w:rPr>
            <w:t>十四</w:t>
          </w:r>
          <w:r>
            <w:rPr>
              <w:rFonts w:hint="eastAsia"/>
            </w:rPr>
            <w:t>）完善投入机制</w:t>
          </w:r>
          <w:r>
            <w:tab/>
          </w:r>
          <w:r>
            <w:fldChar w:fldCharType="begin"/>
          </w:r>
          <w:r>
            <w:instrText xml:space="preserve"> PAGEREF _Toc28051 \h </w:instrText>
          </w:r>
          <w:r>
            <w:fldChar w:fldCharType="separate"/>
          </w:r>
          <w:r>
            <w:t>22</w:t>
          </w:r>
          <w:r>
            <w:fldChar w:fldCharType="end"/>
          </w:r>
          <w:r>
            <w:rPr>
              <w:rFonts w:hint="eastAsia" w:ascii="宋体" w:hAnsi="宋体" w:eastAsia="宋体" w:cs="宋体"/>
              <w:szCs w:val="28"/>
              <w:shd w:val="clear" w:color="auto" w:fill="FFFFFF"/>
            </w:rPr>
            <w:fldChar w:fldCharType="end"/>
          </w:r>
        </w:p>
        <w:p>
          <w:pPr>
            <w:pStyle w:val="11"/>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_Toc22845 </w:instrText>
          </w:r>
          <w:r>
            <w:rPr>
              <w:rFonts w:hint="eastAsia" w:ascii="宋体" w:hAnsi="宋体" w:eastAsia="宋体" w:cs="宋体"/>
              <w:szCs w:val="28"/>
              <w:shd w:val="clear" w:color="auto" w:fill="FFFFFF"/>
            </w:rPr>
            <w:fldChar w:fldCharType="separate"/>
          </w:r>
          <w:r>
            <w:rPr>
              <w:rFonts w:hint="eastAsia"/>
            </w:rPr>
            <w:t>（</w:t>
          </w:r>
          <w:r>
            <w:rPr>
              <w:rFonts w:hint="eastAsia"/>
              <w:lang w:val="en-US" w:eastAsia="zh-CN"/>
            </w:rPr>
            <w:t>十五</w:t>
          </w:r>
          <w:r>
            <w:rPr>
              <w:rFonts w:hint="eastAsia"/>
            </w:rPr>
            <w:t>）严格项目管理</w:t>
          </w:r>
          <w:r>
            <w:tab/>
          </w:r>
          <w:r>
            <w:fldChar w:fldCharType="begin"/>
          </w:r>
          <w:r>
            <w:instrText xml:space="preserve"> PAGEREF _Toc22845 \h </w:instrText>
          </w:r>
          <w:r>
            <w:fldChar w:fldCharType="separate"/>
          </w:r>
          <w:r>
            <w:t>22</w:t>
          </w:r>
          <w:r>
            <w:fldChar w:fldCharType="end"/>
          </w:r>
          <w:r>
            <w:rPr>
              <w:rFonts w:hint="eastAsia" w:ascii="宋体" w:hAnsi="宋体" w:eastAsia="宋体" w:cs="宋体"/>
              <w:szCs w:val="28"/>
              <w:shd w:val="clear" w:color="auto" w:fill="FFFFFF"/>
            </w:rPr>
            <w:fldChar w:fldCharType="end"/>
          </w:r>
        </w:p>
        <w:p>
          <w:pPr>
            <w:pStyle w:val="11"/>
            <w:tabs>
              <w:tab w:val="right" w:leader="dot" w:pos="8306"/>
            </w:tabs>
          </w:pPr>
          <w:r>
            <w:rPr>
              <w:rFonts w:hint="eastAsia" w:ascii="宋体" w:hAnsi="宋体" w:eastAsia="宋体" w:cs="宋体"/>
              <w:szCs w:val="28"/>
              <w:shd w:val="clear" w:color="auto" w:fill="FFFFFF"/>
            </w:rPr>
            <w:fldChar w:fldCharType="begin"/>
          </w:r>
          <w:r>
            <w:rPr>
              <w:rFonts w:hint="eastAsia" w:ascii="宋体" w:hAnsi="宋体" w:eastAsia="宋体" w:cs="宋体"/>
              <w:szCs w:val="28"/>
              <w:shd w:val="clear" w:color="auto" w:fill="FFFFFF"/>
            </w:rPr>
            <w:instrText xml:space="preserve"> HYPERLINK \l _Toc17342 </w:instrText>
          </w:r>
          <w:r>
            <w:rPr>
              <w:rFonts w:hint="eastAsia" w:ascii="宋体" w:hAnsi="宋体" w:eastAsia="宋体" w:cs="宋体"/>
              <w:szCs w:val="28"/>
              <w:shd w:val="clear" w:color="auto" w:fill="FFFFFF"/>
            </w:rPr>
            <w:fldChar w:fldCharType="separate"/>
          </w:r>
          <w:r>
            <w:rPr>
              <w:rFonts w:hint="eastAsia"/>
            </w:rPr>
            <w:t>（</w:t>
          </w:r>
          <w:r>
            <w:rPr>
              <w:rFonts w:hint="eastAsia"/>
              <w:lang w:val="en-US" w:eastAsia="zh-CN"/>
            </w:rPr>
            <w:t>十六</w:t>
          </w:r>
          <w:r>
            <w:rPr>
              <w:rFonts w:hint="eastAsia"/>
            </w:rPr>
            <w:t>）强化评估监督</w:t>
          </w:r>
          <w:r>
            <w:tab/>
          </w:r>
          <w:r>
            <w:fldChar w:fldCharType="begin"/>
          </w:r>
          <w:r>
            <w:instrText xml:space="preserve"> PAGEREF _Toc17342 \h </w:instrText>
          </w:r>
          <w:r>
            <w:fldChar w:fldCharType="separate"/>
          </w:r>
          <w:r>
            <w:t>23</w:t>
          </w:r>
          <w:r>
            <w:fldChar w:fldCharType="end"/>
          </w:r>
          <w:r>
            <w:rPr>
              <w:rFonts w:hint="eastAsia" w:ascii="宋体" w:hAnsi="宋体" w:eastAsia="宋体" w:cs="宋体"/>
              <w:szCs w:val="28"/>
              <w:shd w:val="clear" w:color="auto" w:fill="FFFFFF"/>
            </w:rPr>
            <w:fldChar w:fldCharType="end"/>
          </w:r>
        </w:p>
        <w:p>
          <w:pPr>
            <w:ind w:firstLine="420" w:firstLineChars="200"/>
            <w:jc w:val="left"/>
            <w:rPr>
              <w:rFonts w:ascii="宋体" w:hAnsi="宋体" w:eastAsia="宋体" w:cs="宋体"/>
              <w:sz w:val="28"/>
              <w:szCs w:val="28"/>
              <w:shd w:val="clear" w:color="auto" w:fill="FFFFFF"/>
            </w:rPr>
          </w:pPr>
          <w:r>
            <w:rPr>
              <w:rFonts w:hint="eastAsia" w:ascii="宋体" w:hAnsi="宋体" w:eastAsia="宋体" w:cs="宋体"/>
              <w:szCs w:val="28"/>
              <w:shd w:val="clear" w:color="auto" w:fill="FFFFFF"/>
            </w:rPr>
            <w:fldChar w:fldCharType="end"/>
          </w:r>
        </w:p>
      </w:sdtContent>
    </w:sdt>
    <w:p>
      <w:pPr>
        <w:ind w:firstLine="560" w:firstLineChars="200"/>
        <w:jc w:val="left"/>
        <w:rPr>
          <w:rFonts w:ascii="宋体" w:hAnsi="宋体" w:eastAsia="宋体" w:cs="宋体"/>
          <w:color w:val="FF0000"/>
          <w:sz w:val="28"/>
          <w:szCs w:val="28"/>
          <w:shd w:val="clear" w:color="auto" w:fill="FFFFFF"/>
        </w:rPr>
      </w:pPr>
    </w:p>
    <w:p>
      <w:pPr>
        <w:tabs>
          <w:tab w:val="left" w:pos="1818"/>
        </w:tabs>
        <w:ind w:firstLine="560" w:firstLineChars="200"/>
        <w:jc w:val="left"/>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ab/>
      </w:r>
    </w:p>
    <w:p>
      <w:pPr>
        <w:pStyle w:val="2"/>
        <w:rPr>
          <w:rFonts w:ascii="宋体" w:hAnsi="宋体" w:eastAsia="宋体" w:cs="宋体"/>
          <w:sz w:val="28"/>
          <w:szCs w:val="28"/>
          <w:shd w:val="clear" w:color="auto" w:fill="FFFFFF"/>
        </w:rPr>
      </w:pPr>
    </w:p>
    <w:p>
      <w:pPr>
        <w:rPr>
          <w:rFonts w:ascii="宋体" w:hAnsi="宋体" w:eastAsia="宋体" w:cs="宋体"/>
          <w:sz w:val="28"/>
          <w:szCs w:val="28"/>
          <w:shd w:val="clear" w:color="auto" w:fill="FFFFFF"/>
        </w:rPr>
      </w:pPr>
    </w:p>
    <w:p>
      <w:pPr>
        <w:pStyle w:val="2"/>
        <w:rPr>
          <w:rFonts w:ascii="宋体" w:hAnsi="宋体" w:eastAsia="宋体" w:cs="宋体"/>
          <w:sz w:val="28"/>
          <w:szCs w:val="28"/>
          <w:shd w:val="clear" w:color="auto" w:fill="FFFFFF"/>
        </w:rPr>
      </w:pPr>
    </w:p>
    <w:p>
      <w:pPr>
        <w:rPr>
          <w:rFonts w:ascii="宋体" w:hAnsi="宋体" w:eastAsia="宋体" w:cs="宋体"/>
          <w:sz w:val="28"/>
          <w:szCs w:val="28"/>
          <w:shd w:val="clear" w:color="auto" w:fill="FFFFFF"/>
        </w:rPr>
      </w:pPr>
    </w:p>
    <w:p>
      <w:pPr>
        <w:pStyle w:val="2"/>
        <w:rPr>
          <w:rFonts w:ascii="宋体" w:hAnsi="宋体" w:eastAsia="宋体" w:cs="宋体"/>
          <w:sz w:val="28"/>
          <w:szCs w:val="28"/>
          <w:shd w:val="clear" w:color="auto" w:fill="FFFFFF"/>
        </w:rPr>
      </w:pPr>
    </w:p>
    <w:p>
      <w:pPr>
        <w:spacing w:line="520" w:lineRule="exact"/>
        <w:ind w:firstLine="560" w:firstLineChars="200"/>
        <w:jc w:val="left"/>
        <w:rPr>
          <w:rFonts w:ascii="宋体" w:hAnsi="宋体" w:eastAsia="宋体" w:cs="宋体"/>
          <w:sz w:val="28"/>
          <w:szCs w:val="28"/>
          <w:shd w:val="clear" w:color="auto" w:fill="FFFFFF"/>
        </w:rPr>
        <w:sectPr>
          <w:headerReference r:id="rId3" w:type="default"/>
          <w:footerReference r:id="rId4" w:type="default"/>
          <w:pgSz w:w="11906" w:h="16838"/>
          <w:pgMar w:top="1440" w:right="1800" w:bottom="1440" w:left="1800" w:header="907" w:footer="850" w:gutter="0"/>
          <w:cols w:space="425" w:num="1"/>
          <w:docGrid w:type="lines" w:linePitch="312" w:charSpace="0"/>
        </w:sectPr>
      </w:pPr>
    </w:p>
    <w:p>
      <w:pPr>
        <w:spacing w:line="520" w:lineRule="exact"/>
        <w:ind w:firstLine="560" w:firstLineChars="200"/>
        <w:jc w:val="left"/>
        <w:rPr>
          <w:rFonts w:ascii="宋体" w:hAnsi="宋体" w:eastAsia="宋体" w:cs="宋体"/>
          <w:kern w:val="0"/>
          <w:sz w:val="28"/>
          <w:szCs w:val="28"/>
          <w:shd w:val="clear" w:color="auto" w:fill="FFFFFF"/>
          <w:lang w:bidi="ar"/>
        </w:rPr>
      </w:pPr>
      <w:r>
        <w:rPr>
          <w:rFonts w:hint="eastAsia" w:ascii="宋体" w:hAnsi="宋体" w:eastAsia="宋体" w:cs="宋体"/>
          <w:sz w:val="28"/>
          <w:szCs w:val="28"/>
          <w:shd w:val="clear" w:color="auto" w:fill="FFFFFF"/>
        </w:rPr>
        <w:t>“十四五”时期是我国全面建成小康社会、实现第一个百年奋斗目标之后，乘势而上开启全面建设社会主义现代化国家新征程、向第二个百年奋斗目标进军的第一个五年,也是体育事业改革发展的关键时期。为促进滁州市体育事业科学发展，保证各项体育工作扎实有效推进，按照党的十九届五中</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shd w:val="clear" w:color="auto" w:fill="FFFFFF"/>
          <w:lang w:val="en-US" w:eastAsia="zh-CN"/>
        </w:rPr>
        <w:t>六中</w:t>
      </w:r>
      <w:r>
        <w:rPr>
          <w:rFonts w:hint="eastAsia" w:ascii="宋体" w:hAnsi="宋体" w:eastAsia="宋体" w:cs="宋体"/>
          <w:sz w:val="28"/>
          <w:szCs w:val="28"/>
          <w:shd w:val="clear" w:color="auto" w:fill="FFFFFF"/>
        </w:rPr>
        <w:t>全会部署以</w:t>
      </w:r>
      <w:r>
        <w:rPr>
          <w:rFonts w:ascii="宋体" w:hAnsi="宋体" w:eastAsia="宋体" w:cs="宋体"/>
          <w:sz w:val="28"/>
          <w:szCs w:val="28"/>
          <w:shd w:val="clear" w:color="auto" w:fill="FFFFFF"/>
        </w:rPr>
        <w:t>及</w:t>
      </w:r>
      <w:r>
        <w:rPr>
          <w:rFonts w:hint="eastAsia" w:ascii="宋体" w:hAnsi="宋体" w:eastAsia="宋体" w:cs="宋体"/>
          <w:sz w:val="28"/>
          <w:szCs w:val="28"/>
          <w:shd w:val="clear" w:color="auto" w:fill="FFFFFF"/>
        </w:rPr>
        <w:t>《体育强国建设纲要》、《安徽体育事业发展“十四五”规划和2035年远景目标》和《滁州市国民经济和社会发展第十四个五年规划和2035年远景目标纲要》总体部署，和国家、省体育事业改革发展新形势、新任务、新要求，结合相关法律法规、文件精神和我市实际情况，制定本规划。</w:t>
      </w:r>
    </w:p>
    <w:p>
      <w:pPr>
        <w:pStyle w:val="3"/>
        <w:rPr>
          <w:rFonts w:hint="default"/>
        </w:rPr>
      </w:pPr>
      <w:bookmarkStart w:id="0" w:name="_Toc8435"/>
      <w:r>
        <w:t>一、 滁州市体育事业 “十四五”发展现实基础</w:t>
      </w:r>
      <w:bookmarkEnd w:id="0"/>
    </w:p>
    <w:p>
      <w:pPr>
        <w:pStyle w:val="4"/>
      </w:pPr>
      <w:bookmarkStart w:id="1" w:name="_Toc31157"/>
      <w:r>
        <w:rPr>
          <w:rFonts w:hint="eastAsia"/>
        </w:rPr>
        <w:t>（一）滁州市体育事业“十三五”发展成就</w:t>
      </w:r>
      <w:bookmarkEnd w:id="1"/>
    </w:p>
    <w:p>
      <w:pPr>
        <w:spacing w:line="520" w:lineRule="exact"/>
        <w:ind w:firstLine="560" w:firstLineChars="200"/>
        <w:jc w:val="left"/>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滁州市体育事业在“十三五”期间全面贯彻落实科学发展观，按照体育强市的要求，以增强人民体质、提高全民素质和生活品质为目标，以保障和改善民生为宗旨，努力构建惠及全民的体育健身服务体系，不断提高体育公共服务水平，不断提高竞技体育综合实力，不断提高体育产业竞争力，取得了良好成效。</w:t>
      </w:r>
    </w:p>
    <w:p>
      <w:pPr>
        <w:pStyle w:val="5"/>
        <w:spacing w:line="520" w:lineRule="exact"/>
      </w:pPr>
      <w:bookmarkStart w:id="2" w:name="_Toc21485"/>
      <w:r>
        <w:rPr>
          <w:rFonts w:hint="eastAsia"/>
        </w:rPr>
        <w:t>1.体育创强扎实推进</w:t>
      </w:r>
      <w:bookmarkEnd w:id="2"/>
    </w:p>
    <w:p>
      <w:pPr>
        <w:keepNext w:val="0"/>
        <w:keepLines w:val="0"/>
        <w:widowControl/>
        <w:suppressLineNumbers w:val="0"/>
        <w:ind w:firstLine="560" w:firstLineChars="200"/>
        <w:jc w:val="left"/>
        <w:rPr>
          <w:rFonts w:ascii="宋体" w:hAnsi="宋体" w:eastAsia="宋体" w:cs="宋体"/>
          <w:color w:val="000000" w:themeColor="text1"/>
          <w:kern w:val="0"/>
          <w:sz w:val="28"/>
          <w:szCs w:val="28"/>
          <w:shd w:val="clear" w:color="auto" w:fill="FFFFFF"/>
          <w:lang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lang w:bidi="ar"/>
          <w14:textFill>
            <w14:solidFill>
              <w14:schemeClr w14:val="tx1"/>
            </w14:solidFill>
          </w14:textFill>
        </w:rPr>
        <w:t>“十三五”期间，滁州市创建安徽省体育强市的步伐不断加快。出台了《滁州市全民健身实施计划（2016-2020年）》，</w:t>
      </w:r>
      <w:r>
        <w:rPr>
          <w:rFonts w:hint="eastAsia" w:ascii="宋体" w:hAnsi="宋体" w:eastAsia="宋体" w:cs="宋体"/>
          <w:color w:val="000000" w:themeColor="text1"/>
          <w:kern w:val="0"/>
          <w:sz w:val="28"/>
          <w:szCs w:val="28"/>
          <w:shd w:val="clear" w:color="auto" w:fill="FFFFFF"/>
          <w:lang w:val="en-US" w:eastAsia="zh-CN" w:bidi="ar"/>
          <w14:textFill>
            <w14:solidFill>
              <w14:schemeClr w14:val="tx1"/>
            </w14:solidFill>
          </w14:textFill>
        </w:rPr>
        <w:t>滁州市教体局、</w:t>
      </w:r>
      <w:r>
        <w:rPr>
          <w:rFonts w:ascii="FZFSK--GBK1-0" w:hAnsi="FZFSK--GBK1-0" w:eastAsia="FZFSK--GBK1-0" w:cs="FZFSK--GBK1-0"/>
          <w:color w:val="000000"/>
          <w:kern w:val="0"/>
          <w:sz w:val="29"/>
          <w:szCs w:val="29"/>
          <w:lang w:val="en-US" w:eastAsia="zh-CN" w:bidi="ar"/>
        </w:rPr>
        <w:t>天长市教育体育局</w:t>
      </w:r>
      <w:r>
        <w:rPr>
          <w:rFonts w:hint="eastAsia" w:ascii="FZFSK--GBK1-0" w:hAnsi="FZFSK--GBK1-0" w:eastAsia="FZFSK--GBK1-0" w:cs="FZFSK--GBK1-0"/>
          <w:color w:val="000000"/>
          <w:kern w:val="0"/>
          <w:sz w:val="29"/>
          <w:szCs w:val="29"/>
          <w:lang w:val="en-US" w:eastAsia="zh-CN" w:bidi="ar"/>
        </w:rPr>
        <w:t>、</w:t>
      </w:r>
      <w:r>
        <w:rPr>
          <w:rFonts w:hint="default" w:ascii="FZFSK--GBK1-0" w:hAnsi="FZFSK--GBK1-0" w:eastAsia="FZFSK--GBK1-0" w:cs="FZFSK--GBK1-0"/>
          <w:color w:val="000000"/>
          <w:kern w:val="0"/>
          <w:sz w:val="29"/>
          <w:szCs w:val="29"/>
          <w:lang w:val="en-US" w:eastAsia="zh-CN" w:bidi="ar"/>
        </w:rPr>
        <w:t>凤阳县教育体育局</w:t>
      </w:r>
      <w:r>
        <w:rPr>
          <w:rFonts w:hint="eastAsia" w:ascii="FZFSK--GBK1-0" w:hAnsi="FZFSK--GBK1-0" w:eastAsia="FZFSK--GBK1-0" w:cs="FZFSK--GBK1-0"/>
          <w:color w:val="000000"/>
          <w:kern w:val="0"/>
          <w:sz w:val="29"/>
          <w:szCs w:val="29"/>
          <w:lang w:val="en-US" w:eastAsia="zh-CN" w:bidi="ar"/>
        </w:rPr>
        <w:t>、</w:t>
      </w:r>
      <w:r>
        <w:rPr>
          <w:rFonts w:hint="default" w:ascii="FZFSK--GBK1-0" w:hAnsi="FZFSK--GBK1-0" w:eastAsia="FZFSK--GBK1-0" w:cs="FZFSK--GBK1-0"/>
          <w:color w:val="000000"/>
          <w:kern w:val="0"/>
          <w:sz w:val="29"/>
          <w:szCs w:val="29"/>
          <w:lang w:val="en-US" w:eastAsia="zh-CN" w:bidi="ar"/>
        </w:rPr>
        <w:t>定远县教育体育局</w:t>
      </w:r>
      <w:r>
        <w:rPr>
          <w:rFonts w:hint="eastAsia" w:ascii="FZFSK--GBK1-0" w:hAnsi="FZFSK--GBK1-0" w:eastAsia="FZFSK--GBK1-0" w:cs="FZFSK--GBK1-0"/>
          <w:color w:val="000000"/>
          <w:kern w:val="0"/>
          <w:sz w:val="29"/>
          <w:szCs w:val="29"/>
          <w:lang w:val="en-US" w:eastAsia="zh-CN" w:bidi="ar"/>
        </w:rPr>
        <w:t>、</w:t>
      </w:r>
      <w:r>
        <w:rPr>
          <w:rFonts w:ascii="FZFSK--GBK1-0" w:hAnsi="FZFSK--GBK1-0" w:eastAsia="FZFSK--GBK1-0" w:cs="FZFSK--GBK1-0"/>
          <w:color w:val="000000"/>
          <w:kern w:val="0"/>
          <w:sz w:val="29"/>
          <w:szCs w:val="29"/>
          <w:lang w:val="en-US" w:eastAsia="zh-CN" w:bidi="ar"/>
        </w:rPr>
        <w:t>南谯区教育体育局</w:t>
      </w:r>
      <w:r>
        <w:rPr>
          <w:rFonts w:hint="eastAsia" w:ascii="FZFSK--GBK1-0" w:hAnsi="FZFSK--GBK1-0" w:eastAsia="FZFSK--GBK1-0" w:cs="FZFSK--GBK1-0"/>
          <w:color w:val="000000"/>
          <w:kern w:val="0"/>
          <w:sz w:val="29"/>
          <w:szCs w:val="29"/>
          <w:lang w:val="en-US" w:eastAsia="zh-CN" w:bidi="ar"/>
        </w:rPr>
        <w:t>被授予</w:t>
      </w:r>
      <w:r>
        <w:rPr>
          <w:rFonts w:hint="eastAsia" w:ascii="宋体" w:hAnsi="宋体" w:eastAsia="宋体" w:cs="宋体"/>
          <w:color w:val="000000" w:themeColor="text1"/>
          <w:kern w:val="0"/>
          <w:sz w:val="28"/>
          <w:szCs w:val="28"/>
          <w:shd w:val="clear" w:color="auto" w:fill="FFFFFF"/>
          <w:lang w:val="en-US" w:eastAsia="zh-CN" w:bidi="ar"/>
          <w14:textFill>
            <w14:solidFill>
              <w14:schemeClr w14:val="tx1"/>
            </w14:solidFill>
          </w14:textFill>
        </w:rPr>
        <w:t>2017-2020年年度全国群众体育先进单位，</w:t>
      </w:r>
      <w:r>
        <w:rPr>
          <w:rFonts w:hint="eastAsia" w:ascii="宋体" w:hAnsi="宋体" w:eastAsia="宋体" w:cs="宋体"/>
          <w:color w:val="000000" w:themeColor="text1"/>
          <w:kern w:val="0"/>
          <w:sz w:val="28"/>
          <w:szCs w:val="28"/>
          <w:shd w:val="clear" w:color="auto" w:fill="FFFFFF"/>
          <w:lang w:bidi="ar"/>
          <w14:textFill>
            <w14:solidFill>
              <w14:schemeClr w14:val="tx1"/>
            </w14:solidFill>
          </w14:textFill>
        </w:rPr>
        <w:t>2018-2019年连续两年被省体育局授予“创建体育强市达标先进单位”，2020年被授予体育强市工作考核优秀单位。滁州市教育体育局等8家单位荣获全国群众体育先进单位，6人荣获全国群众体育先进个人。体育设施考核连续五年位列全省第一方阵。</w:t>
      </w:r>
    </w:p>
    <w:p>
      <w:pPr>
        <w:pStyle w:val="5"/>
        <w:spacing w:line="520" w:lineRule="exact"/>
        <w:rPr>
          <w:color w:val="000000" w:themeColor="text1"/>
          <w14:textFill>
            <w14:solidFill>
              <w14:schemeClr w14:val="tx1"/>
            </w14:solidFill>
          </w14:textFill>
        </w:rPr>
      </w:pPr>
      <w:bookmarkStart w:id="3" w:name="_Toc25408"/>
      <w:r>
        <w:rPr>
          <w:rFonts w:hint="eastAsia"/>
          <w:color w:val="000000" w:themeColor="text1"/>
          <w14:textFill>
            <w14:solidFill>
              <w14:schemeClr w14:val="tx1"/>
            </w14:solidFill>
          </w14:textFill>
        </w:rPr>
        <w:t>2.群众体育蓬勃发展</w:t>
      </w:r>
      <w:bookmarkEnd w:id="3"/>
    </w:p>
    <w:p>
      <w:pPr>
        <w:spacing w:line="520" w:lineRule="exact"/>
        <w:ind w:firstLine="560" w:firstLineChars="200"/>
        <w:jc w:val="left"/>
        <w:rPr>
          <w:rFonts w:ascii="宋体" w:hAnsi="宋体" w:eastAsia="宋体" w:cs="宋体"/>
          <w:color w:val="000000" w:themeColor="text1"/>
          <w:kern w:val="0"/>
          <w:sz w:val="28"/>
          <w:szCs w:val="28"/>
          <w:shd w:val="clear" w:color="auto" w:fill="FFFFFF"/>
          <w:lang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lang w:bidi="ar"/>
          <w14:textFill>
            <w14:solidFill>
              <w14:schemeClr w14:val="tx1"/>
            </w14:solidFill>
          </w14:textFill>
        </w:rPr>
        <w:t>“十三五”期间，滁州市认真贯彻落实全民健身国家战略，群众体育活动蓬勃开展，形成了一批具有滁州特色、皖东风格的全民健身品牌赛事，天长市“茉莉花体育节”、全椒县“正月十六走太平”、明光市“钱杆保健操”以及“畅游琅琊品味山水”等多项活动被评选为“安徽省优秀体育文化品牌赛事”，且规模愈发壮大。</w:t>
      </w:r>
    </w:p>
    <w:p>
      <w:pPr>
        <w:spacing w:line="520" w:lineRule="exact"/>
        <w:ind w:firstLine="560" w:firstLineChars="200"/>
        <w:jc w:val="left"/>
        <w:rPr>
          <w:rFonts w:ascii="宋体" w:hAnsi="宋体" w:eastAsia="宋体" w:cs="宋体"/>
          <w:color w:val="000000" w:themeColor="text1"/>
          <w:kern w:val="0"/>
          <w:sz w:val="28"/>
          <w:szCs w:val="28"/>
          <w:shd w:val="clear" w:color="auto" w:fill="FFFFFF"/>
          <w:lang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lang w:bidi="ar"/>
          <w14:textFill>
            <w14:solidFill>
              <w14:schemeClr w14:val="tx1"/>
            </w14:solidFill>
          </w14:textFill>
        </w:rPr>
        <w:t>社会体育指导员培训工作稳步推进，截至2020年全市注册社会体育指导员10200人，其中国家级社会体育指导员56人，全市951个行政村中有792个行政村至少有1名社会体育指导员，占比83%，天长市、琅琊区实现行政村社会体育指导员全覆盖。每年为8000余名群众开展国民体质监测，为群众开具“运动处方”，实现对健身群众身体健康的全面监测、分析、评估及干预。</w:t>
      </w:r>
    </w:p>
    <w:p>
      <w:pPr>
        <w:spacing w:line="520" w:lineRule="exact"/>
        <w:ind w:firstLine="560" w:firstLineChars="200"/>
        <w:jc w:val="left"/>
        <w:rPr>
          <w:rFonts w:ascii="宋体" w:hAnsi="宋体" w:eastAsia="宋体" w:cs="宋体"/>
          <w:color w:val="000000" w:themeColor="text1"/>
          <w:kern w:val="0"/>
          <w:sz w:val="28"/>
          <w:szCs w:val="28"/>
          <w:shd w:val="clear" w:color="auto" w:fill="FFFFFF"/>
          <w:lang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lang w:bidi="ar"/>
          <w14:textFill>
            <w14:solidFill>
              <w14:schemeClr w14:val="tx1"/>
            </w14:solidFill>
          </w14:textFill>
        </w:rPr>
        <w:t>滁州市体育健身设施不断完善，市级“五个一”已建成体育馆、全民健身中心、体育公园。定远县、天长市、凤阳县、来安县、南谯区已建成县级“五个一”，达标率达到62.5%，68个乡镇建成“三个一”，达标率达到60.7%；城市社区“十五分钟健身圈”日益完善，全市体育场地数量8196个，体育场地面积达837万平方米，人均体育场地面积2.10平方米。</w:t>
      </w:r>
      <w:r>
        <w:rPr>
          <w:rFonts w:hint="eastAsia" w:ascii="宋体" w:hAnsi="宋体" w:eastAsia="宋体" w:cs="宋体"/>
          <w:kern w:val="0"/>
          <w:sz w:val="28"/>
          <w:szCs w:val="28"/>
          <w:shd w:val="clear" w:color="auto" w:fill="FFFFFF"/>
          <w:lang w:bidi="ar"/>
        </w:rPr>
        <w:t>体育设施考核连续五年位列全省第一方阵。</w:t>
      </w:r>
    </w:p>
    <w:p>
      <w:pPr>
        <w:pStyle w:val="5"/>
        <w:spacing w:line="520" w:lineRule="exact"/>
      </w:pPr>
      <w:bookmarkStart w:id="4" w:name="_Toc14595"/>
      <w:r>
        <w:rPr>
          <w:rFonts w:hint="eastAsia"/>
        </w:rPr>
        <w:t>3.竞技体育稳步提高</w:t>
      </w:r>
      <w:bookmarkEnd w:id="4"/>
    </w:p>
    <w:p>
      <w:pPr>
        <w:spacing w:line="520" w:lineRule="exact"/>
        <w:ind w:firstLine="560" w:firstLineChars="200"/>
        <w:jc w:val="left"/>
        <w:rPr>
          <w:rFonts w:ascii="宋体" w:hAnsi="宋体" w:eastAsia="宋体" w:cs="宋体"/>
          <w:sz w:val="28"/>
          <w:szCs w:val="28"/>
        </w:rPr>
      </w:pPr>
      <w:r>
        <w:rPr>
          <w:rFonts w:hint="eastAsia" w:ascii="宋体" w:hAnsi="宋体" w:eastAsia="宋体" w:cs="宋体"/>
          <w:kern w:val="0"/>
          <w:sz w:val="28"/>
          <w:szCs w:val="28"/>
          <w:shd w:val="clear" w:color="auto" w:fill="FFFFFF"/>
          <w:lang w:bidi="ar"/>
        </w:rPr>
        <w:t>“十三五”期间，在全面发展竞技体育方面，坚持抓好学校体育工作，重点发挥滁州市体育职业学校作用。向省级以上优秀运动队输送运动员164名，其中2016年83人，2019年53人，2020年28人。2016年安徽省常规赛取得29金5银11铜，2017年安徽省常规赛65金31银43铜，2019年安徽省常规赛17金15银18铜，2020年安徽省常规赛48金32银25铜。2018年由安徽省政府主办，省体育局、省教育厅和蚌埠市政府共同承办的安徽省第十四届运动会青少部比赛中，滁州市代表队取得比赛成绩63金25银32铜，总分2316.5，综合成绩105.1金25银32铜，总分3124.6，金牌数在全省16支代表队中名列第5，竞赛成绩取得历史性突破，展现了滁州市竞技体育的综合实力。</w:t>
      </w:r>
    </w:p>
    <w:p>
      <w:pPr>
        <w:pStyle w:val="5"/>
        <w:spacing w:line="520" w:lineRule="exact"/>
      </w:pPr>
      <w:bookmarkStart w:id="5" w:name="_Toc21364"/>
      <w:r>
        <w:rPr>
          <w:rFonts w:hint="eastAsia"/>
        </w:rPr>
        <w:t>4.体育产业初具规模</w:t>
      </w:r>
      <w:bookmarkEnd w:id="5"/>
    </w:p>
    <w:p>
      <w:pPr>
        <w:spacing w:line="520" w:lineRule="exact"/>
        <w:ind w:firstLine="560" w:firstLineChars="200"/>
        <w:jc w:val="left"/>
        <w:rPr>
          <w:rFonts w:hint="default" w:ascii="宋体" w:hAnsi="宋体" w:eastAsia="宋体" w:cs="宋体"/>
          <w:kern w:val="0"/>
          <w:sz w:val="28"/>
          <w:szCs w:val="28"/>
          <w:highlight w:val="yellow"/>
          <w:shd w:val="clear" w:color="auto" w:fill="FFFFFF"/>
          <w:lang w:val="en-US" w:eastAsia="zh-CN" w:bidi="ar"/>
        </w:rPr>
      </w:pPr>
      <w:r>
        <w:rPr>
          <w:rFonts w:hint="eastAsia" w:ascii="宋体" w:hAnsi="宋体" w:eastAsia="宋体" w:cs="宋体"/>
          <w:kern w:val="0"/>
          <w:sz w:val="28"/>
          <w:szCs w:val="28"/>
          <w:shd w:val="clear" w:color="auto" w:fill="FFFFFF"/>
          <w:lang w:bidi="ar"/>
        </w:rPr>
        <w:t>2016～2020年，全市体育及相关产业总规模突破60亿元，体育彩票累计销量超过16亿元。其中，定远“球类产业园”获批“安徽省省级体育产业基地”；全椒大墅龙山国际露营基地获批“安徽省省级体育旅游产业基地”；定远县曲阳体育生态公园、定远池河金湾体育生态公园、南谯区高教科创城智湾体育生态公园、全椒县南屏山体育生态公园、凤阳县如意河体育生态公园、滁州市清流河体育公园获批“省级体育生态公园”；来安县兴茂旅游有限公司被授予“五星级汽车自驾运动营地”；南谯区、明光市、来安县、全椒县连续多年承办“健康安徽”环江淮万人骑行大赛分站赛；南谯区大柳“山地马拉松越野赛”入选“安徽省体育品牌名录库”；2017年，南谯区章广镇“自行车运动小镇”列入由省体育局与南谯区政府共建的体育特色小镇</w:t>
      </w:r>
      <w:r>
        <w:rPr>
          <w:rFonts w:hint="eastAsia" w:ascii="宋体" w:hAnsi="宋体" w:eastAsia="宋体" w:cs="宋体"/>
          <w:kern w:val="0"/>
          <w:sz w:val="28"/>
          <w:szCs w:val="28"/>
          <w:shd w:val="clear" w:color="auto" w:fill="FFFFFF"/>
          <w:lang w:eastAsia="zh-CN" w:bidi="ar"/>
        </w:rPr>
        <w:t>；</w:t>
      </w:r>
      <w:r>
        <w:rPr>
          <w:rFonts w:hint="eastAsia" w:ascii="宋体" w:hAnsi="宋体" w:eastAsia="宋体" w:cs="宋体"/>
          <w:kern w:val="0"/>
          <w:sz w:val="28"/>
          <w:szCs w:val="28"/>
          <w:shd w:val="clear" w:color="auto" w:fill="FFFFFF"/>
          <w:lang w:val="en-US" w:eastAsia="zh-CN" w:bidi="ar"/>
        </w:rPr>
        <w:t>2021年11月，滁州市大墅龙山旅游度假区认定为国家体育旅游示范基地。</w:t>
      </w:r>
    </w:p>
    <w:p>
      <w:pPr>
        <w:pStyle w:val="5"/>
        <w:spacing w:line="520" w:lineRule="exact"/>
        <w:rPr>
          <w:color w:val="000000" w:themeColor="text1"/>
          <w14:textFill>
            <w14:solidFill>
              <w14:schemeClr w14:val="tx1"/>
            </w14:solidFill>
          </w14:textFill>
        </w:rPr>
      </w:pPr>
      <w:bookmarkStart w:id="6" w:name="_Toc31781"/>
      <w:r>
        <w:rPr>
          <w:rFonts w:hint="eastAsia"/>
          <w:color w:val="000000" w:themeColor="text1"/>
          <w14:textFill>
            <w14:solidFill>
              <w14:schemeClr w14:val="tx1"/>
            </w14:solidFill>
          </w14:textFill>
        </w:rPr>
        <w:t>5.体育文化初现魅力</w:t>
      </w:r>
      <w:bookmarkEnd w:id="6"/>
      <w:r>
        <w:rPr>
          <w:rFonts w:hint="eastAsia"/>
          <w:color w:val="000000" w:themeColor="text1"/>
          <w14:textFill>
            <w14:solidFill>
              <w14:schemeClr w14:val="tx1"/>
            </w14:solidFill>
          </w14:textFill>
        </w:rPr>
        <w:t xml:space="preserve"> </w:t>
      </w:r>
    </w:p>
    <w:p>
      <w:pPr>
        <w:pStyle w:val="2"/>
        <w:spacing w:line="520" w:lineRule="exact"/>
        <w:ind w:left="0" w:leftChars="0"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体育文化繁荣发展，我市传统体育文化得到深入挖掘，定远县凉亭锣鼓、二龙戏珠以及明光市流星赶月入围《安徽省第三批省级非物质文化遗产名录》。“十三五”期间，我市组织编写《滁州体育70年画册》，撰写完成《体育志》，制作完成《滁州体育70年》宣传片。</w:t>
      </w:r>
    </w:p>
    <w:p>
      <w:pPr>
        <w:pStyle w:val="4"/>
        <w:spacing w:line="520" w:lineRule="exact"/>
        <w:rPr>
          <w:color w:val="000000" w:themeColor="text1"/>
          <w14:textFill>
            <w14:solidFill>
              <w14:schemeClr w14:val="tx1"/>
            </w14:solidFill>
          </w14:textFill>
        </w:rPr>
      </w:pPr>
      <w:bookmarkStart w:id="7" w:name="_Toc30835"/>
      <w:r>
        <w:rPr>
          <w:rFonts w:hint="eastAsia"/>
          <w:color w:val="000000" w:themeColor="text1"/>
          <w14:textFill>
            <w14:solidFill>
              <w14:schemeClr w14:val="tx1"/>
            </w14:solidFill>
          </w14:textFill>
        </w:rPr>
        <w:t>（二）滁州市体育事业“十三五”发展主要问题</w:t>
      </w:r>
      <w:bookmarkEnd w:id="7"/>
    </w:p>
    <w:p>
      <w:pPr>
        <w:spacing w:line="520" w:lineRule="exact"/>
        <w:ind w:firstLine="560" w:firstLineChars="200"/>
        <w:jc w:val="left"/>
        <w:rPr>
          <w:rFonts w:ascii="宋体" w:hAnsi="宋体" w:eastAsia="宋体" w:cs="宋体"/>
          <w:color w:val="000000" w:themeColor="text1"/>
          <w:kern w:val="0"/>
          <w:sz w:val="28"/>
          <w:szCs w:val="28"/>
          <w:shd w:val="clear" w:color="auto" w:fill="FFFFFF"/>
          <w:lang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lang w:bidi="ar"/>
          <w14:textFill>
            <w14:solidFill>
              <w14:schemeClr w14:val="tx1"/>
            </w14:solidFill>
          </w14:textFill>
        </w:rPr>
        <w:t>“十三五”期间，城市常住人口不断扩大，体育人口不断增加，使得人民群众的公共体育需求与政府提供的体育资源相对不足之间的矛盾日益凸显。</w:t>
      </w:r>
    </w:p>
    <w:p>
      <w:pPr>
        <w:pStyle w:val="12"/>
        <w:widowControl/>
        <w:shd w:val="clear" w:color="auto" w:fill="FFFFFF"/>
        <w:spacing w:beforeAutospacing="0" w:afterAutospacing="0" w:line="520" w:lineRule="exact"/>
        <w:ind w:firstLine="560"/>
        <w:rPr>
          <w:rFonts w:ascii="宋体" w:hAnsi="宋体" w:eastAsia="宋体" w:cs="宋体"/>
          <w:color w:val="000000" w:themeColor="text1"/>
          <w:sz w:val="28"/>
          <w:szCs w:val="28"/>
          <w:shd w:val="clear" w:color="auto" w:fill="FFFFFF"/>
          <w:lang w:bidi="ar"/>
          <w14:textFill>
            <w14:solidFill>
              <w14:schemeClr w14:val="tx1"/>
            </w14:solidFill>
          </w14:textFill>
        </w:rPr>
      </w:pPr>
      <w:r>
        <w:rPr>
          <w:rFonts w:hint="eastAsia" w:ascii="宋体" w:hAnsi="宋体" w:eastAsia="宋体" w:cs="宋体"/>
          <w:color w:val="000000" w:themeColor="text1"/>
          <w:sz w:val="28"/>
          <w:szCs w:val="28"/>
          <w:shd w:val="clear" w:color="auto" w:fill="FFFFFF"/>
          <w:lang w:bidi="ar"/>
          <w14:textFill>
            <w14:solidFill>
              <w14:schemeClr w14:val="tx1"/>
            </w14:solidFill>
          </w14:textFill>
        </w:rPr>
        <w:t>1.群众体育方面，政府主导、部门协同、全社会共同参与的“大群体”工作格局还未完全形成。公共场地体育设施建设有了长足的进步但仍滞后于社会经济发展水平，群众体育活动的数量较多但质量有待提升，群众体育社会组织的管理需进一步完善和加强，现有体育场馆经营活力不足和公益之间的矛盾日益突出并长期共存。</w:t>
      </w:r>
    </w:p>
    <w:p>
      <w:pPr>
        <w:pStyle w:val="12"/>
        <w:widowControl/>
        <w:shd w:val="clear" w:color="auto" w:fill="FFFFFF"/>
        <w:spacing w:beforeAutospacing="0" w:afterAutospacing="0" w:line="520" w:lineRule="exact"/>
        <w:ind w:firstLine="560"/>
        <w:rPr>
          <w:rFonts w:ascii="宋体" w:hAnsi="宋体" w:eastAsia="宋体" w:cs="宋体"/>
          <w:color w:val="000000" w:themeColor="text1"/>
          <w:sz w:val="28"/>
          <w:szCs w:val="28"/>
          <w:shd w:val="clear" w:color="auto" w:fill="FFFFFF"/>
          <w:lang w:bidi="ar"/>
          <w14:textFill>
            <w14:solidFill>
              <w14:schemeClr w14:val="tx1"/>
            </w14:solidFill>
          </w14:textFill>
        </w:rPr>
      </w:pPr>
      <w:r>
        <w:rPr>
          <w:rFonts w:hint="eastAsia" w:ascii="宋体" w:hAnsi="宋体" w:eastAsia="宋体" w:cs="宋体"/>
          <w:color w:val="000000" w:themeColor="text1"/>
          <w:sz w:val="28"/>
          <w:szCs w:val="28"/>
          <w:shd w:val="clear" w:color="auto" w:fill="FFFFFF"/>
          <w:lang w:bidi="ar"/>
          <w14:textFill>
            <w14:solidFill>
              <w14:schemeClr w14:val="tx1"/>
            </w14:solidFill>
          </w14:textFill>
        </w:rPr>
        <w:t>2.竞技体育方面，竞技体育</w:t>
      </w:r>
      <w:r>
        <w:rPr>
          <w:rFonts w:hint="eastAsia" w:ascii="宋体" w:hAnsi="宋体" w:eastAsia="宋体" w:cs="宋体"/>
          <w:color w:val="000000" w:themeColor="text1"/>
          <w:sz w:val="28"/>
          <w:szCs w:val="28"/>
          <w:shd w:val="clear" w:color="auto" w:fill="FFFFFF"/>
          <w:lang w:val="en-US" w:eastAsia="zh-CN" w:bidi="ar"/>
          <w14:textFill>
            <w14:solidFill>
              <w14:schemeClr w14:val="tx1"/>
            </w14:solidFill>
          </w14:textFill>
        </w:rPr>
        <w:t>存在薄弱和短板</w:t>
      </w:r>
      <w:r>
        <w:rPr>
          <w:rFonts w:hint="eastAsia" w:ascii="宋体" w:hAnsi="宋体" w:eastAsia="宋体" w:cs="宋体"/>
          <w:color w:val="000000" w:themeColor="text1"/>
          <w:sz w:val="28"/>
          <w:szCs w:val="28"/>
          <w:shd w:val="clear" w:color="auto" w:fill="FFFFFF"/>
          <w:lang w:bidi="ar"/>
          <w14:textFill>
            <w14:solidFill>
              <w14:schemeClr w14:val="tx1"/>
            </w14:solidFill>
          </w14:textFill>
        </w:rPr>
        <w:t>，传统优势项目的地位不明显，项目发展不均衡，职业化水平不高，进军全省第一方阵任务艰巨。滁州市竞技体育的传统优势项目主要集中在体操、手球、排球、水上、武术、射击等，由于其他城市竞技体育发展较快，这些项目的优势地位已经被削弱。而游泳、足球、田径等项目，成为制约我市竞技体育水平整体提升的短板。竞技体育的经费投入不充裕，高水平的教练员比较缺乏，人才培养体系不完善，科医保障力量薄弱，训练的科学化水平整体不高。</w:t>
      </w:r>
    </w:p>
    <w:p>
      <w:pPr>
        <w:pStyle w:val="2"/>
        <w:spacing w:line="520" w:lineRule="exact"/>
        <w:ind w:left="0" w:leftChars="0" w:firstLine="560" w:firstLineChars="200"/>
        <w:rPr>
          <w:rFonts w:ascii="宋体" w:hAnsi="宋体" w:eastAsia="宋体" w:cs="宋体"/>
          <w:color w:val="000000" w:themeColor="text1"/>
          <w:kern w:val="0"/>
          <w:sz w:val="28"/>
          <w:szCs w:val="28"/>
          <w:shd w:val="clear" w:color="auto" w:fill="FFFFFF"/>
          <w:lang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lang w:bidi="ar"/>
          <w14:textFill>
            <w14:solidFill>
              <w14:schemeClr w14:val="tx1"/>
            </w14:solidFill>
          </w14:textFill>
        </w:rPr>
        <w:t>3.体育产业方面，体育产业产值不高，且经济占比较低，产业不成系统，社会资本投入体育产业积极性不高，体育产业的利好政策未充分落实到位，体育消费理念和体育消费市场还未得到完善，体育产业的深度和广度需要得到进一步发展。体育产业总体规模不大，发展质量不高，体育制造业处于产业链中低端，高水平的体育经营、专业服务机构缺乏，省级、国家级赛事不足，体育赛事品牌活动少、受众面窄，体育消费市场培育力度不够。</w:t>
      </w:r>
    </w:p>
    <w:p>
      <w:pPr>
        <w:pStyle w:val="2"/>
        <w:spacing w:line="520" w:lineRule="exact"/>
        <w:ind w:left="0" w:leftChars="0" w:firstLine="560" w:firstLineChars="200"/>
        <w:rPr>
          <w:rFonts w:ascii="宋体" w:hAnsi="宋体" w:eastAsia="宋体" w:cs="宋体"/>
          <w:color w:val="000000" w:themeColor="text1"/>
          <w:kern w:val="0"/>
          <w:sz w:val="28"/>
          <w:szCs w:val="28"/>
          <w:shd w:val="clear" w:color="auto" w:fill="FFFFFF"/>
          <w:lang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lang w:bidi="ar"/>
          <w14:textFill>
            <w14:solidFill>
              <w14:schemeClr w14:val="tx1"/>
            </w14:solidFill>
          </w14:textFill>
        </w:rPr>
        <w:t>4.体育文化方面，体育文化氛围不够浓厚，体育文化的阵地建设仍然不足，运动项目文化的挖掘不够深入，传统体育文化研究与保护工作需进一步加强，体育文化的对外交流活动不足。</w:t>
      </w:r>
    </w:p>
    <w:p>
      <w:pPr>
        <w:pStyle w:val="4"/>
        <w:spacing w:line="520" w:lineRule="exact"/>
        <w:rPr>
          <w:color w:val="000000" w:themeColor="text1"/>
          <w14:textFill>
            <w14:solidFill>
              <w14:schemeClr w14:val="tx1"/>
            </w14:solidFill>
          </w14:textFill>
        </w:rPr>
      </w:pPr>
      <w:bookmarkStart w:id="8" w:name="_Toc17687"/>
      <w:r>
        <w:rPr>
          <w:rFonts w:hint="eastAsia"/>
          <w:color w:val="000000" w:themeColor="text1"/>
          <w14:textFill>
            <w14:solidFill>
              <w14:schemeClr w14:val="tx1"/>
            </w14:solidFill>
          </w14:textFill>
        </w:rPr>
        <w:t>（三）滁州市体育事业“十四五”发展面临的机遇和挑战</w:t>
      </w:r>
      <w:bookmarkEnd w:id="8"/>
    </w:p>
    <w:p>
      <w:pPr>
        <w:pStyle w:val="5"/>
        <w:spacing w:line="520" w:lineRule="exact"/>
        <w:rPr>
          <w:color w:val="000000" w:themeColor="text1"/>
          <w14:textFill>
            <w14:solidFill>
              <w14:schemeClr w14:val="tx1"/>
            </w14:solidFill>
          </w14:textFill>
        </w:rPr>
      </w:pPr>
      <w:bookmarkStart w:id="9" w:name="_Toc27766"/>
      <w:r>
        <w:rPr>
          <w:rFonts w:hint="eastAsia"/>
          <w:color w:val="000000" w:themeColor="text1"/>
          <w14:textFill>
            <w14:solidFill>
              <w14:schemeClr w14:val="tx1"/>
            </w14:solidFill>
          </w14:textFill>
        </w:rPr>
        <w:t>1.体育强国建设明确新定位，形成体育发展新格局</w:t>
      </w:r>
      <w:bookmarkEnd w:id="9"/>
    </w:p>
    <w:p>
      <w:pPr>
        <w:widowControl/>
        <w:spacing w:line="520" w:lineRule="exact"/>
        <w:ind w:firstLine="560" w:firstLineChars="200"/>
        <w:rPr>
          <w:rFonts w:ascii="宋体" w:hAnsi="宋体" w:eastAsia="宋体" w:cs="宋体"/>
          <w:color w:val="000000" w:themeColor="text1"/>
          <w:kern w:val="0"/>
          <w:sz w:val="28"/>
          <w:szCs w:val="28"/>
          <w:shd w:val="clear" w:color="auto" w:fill="FFFFFF"/>
          <w:lang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lang w:bidi="ar"/>
          <w14:textFill>
            <w14:solidFill>
              <w14:schemeClr w14:val="tx1"/>
            </w14:solidFill>
          </w14:textFill>
        </w:rPr>
        <w:t>习近平总书记从提高人民健康水平、满足人民群众对美好生活向往与促进人的全面发展、促进经济社会发展、展示国家文化软实力方面赋予体育工作新定位、新功能、新要求，为体育事业发展指明了方向。党中央、国务院对发展体育工作作出了一系列决策部署，健康中国、体育强国和全民健身战略深入实施极大地激发了体育发展活力。《体育强国建设纲要》明确了体育强国建设的目标、任务及措施，有助于激发体育事业发展活力，落实全民健身国家战略，促进全民健身与全民健康深度融合，促进体育事业进一步融入经济社会发展总体格局。</w:t>
      </w:r>
    </w:p>
    <w:p>
      <w:pPr>
        <w:pStyle w:val="12"/>
        <w:widowControl/>
        <w:shd w:val="clear" w:color="auto" w:fill="FFFFFF"/>
        <w:spacing w:beforeAutospacing="0" w:afterAutospacing="0" w:line="520" w:lineRule="exact"/>
        <w:ind w:firstLine="560"/>
        <w:rPr>
          <w:rFonts w:ascii="宋体" w:hAnsi="宋体" w:eastAsia="宋体" w:cs="宋体"/>
          <w:color w:val="000000" w:themeColor="text1"/>
          <w:sz w:val="28"/>
          <w:szCs w:val="28"/>
          <w:shd w:val="clear" w:color="auto" w:fill="FFFFFF"/>
          <w:lang w:bidi="ar"/>
          <w14:textFill>
            <w14:solidFill>
              <w14:schemeClr w14:val="tx1"/>
            </w14:solidFill>
          </w14:textFill>
        </w:rPr>
      </w:pPr>
      <w:r>
        <w:rPr>
          <w:rFonts w:hint="eastAsia" w:ascii="宋体" w:hAnsi="宋体" w:eastAsia="宋体" w:cs="宋体"/>
          <w:color w:val="000000" w:themeColor="text1"/>
          <w:sz w:val="28"/>
          <w:szCs w:val="28"/>
          <w:shd w:val="clear" w:color="auto" w:fill="FFFFFF"/>
          <w:lang w:bidi="ar"/>
          <w14:textFill>
            <w14:solidFill>
              <w14:schemeClr w14:val="tx1"/>
            </w14:solidFill>
          </w14:textFill>
        </w:rPr>
        <w:t>我市体育发展既处在大有作为的重要战略机遇期，也面临诸多矛盾和严峻挑战。市委市政府高度重视体育工作，明确了体育工作目标任务和发展路径，将有力推动我市体育助力新阶段现代化美好滁州建设，“五大发展行动计划”的高质量推进和“小康社会的全面建成”，实现高水平打造新兴产业发展聚集地、改革开放新高地、长三角一体化发展样板区、美好安徽先行区，高标准建设长三角中心区现代化城市的目标，实现“两个更大”中走在全省前列，为我市社会主义现代化建设开好局、起好步。　</w:t>
      </w:r>
    </w:p>
    <w:p>
      <w:pPr>
        <w:pStyle w:val="5"/>
        <w:spacing w:line="520" w:lineRule="exact"/>
        <w:rPr>
          <w:color w:val="000000" w:themeColor="text1"/>
          <w14:textFill>
            <w14:solidFill>
              <w14:schemeClr w14:val="tx1"/>
            </w14:solidFill>
          </w14:textFill>
        </w:rPr>
      </w:pPr>
      <w:bookmarkStart w:id="10" w:name="_Toc6306"/>
      <w:r>
        <w:rPr>
          <w:rFonts w:hint="eastAsia"/>
          <w:color w:val="000000" w:themeColor="text1"/>
          <w14:textFill>
            <w14:solidFill>
              <w14:schemeClr w14:val="tx1"/>
            </w14:solidFill>
          </w14:textFill>
        </w:rPr>
        <w:t>2.经济进入高质量发展新阶段，催生体育产业新动能</w:t>
      </w:r>
      <w:bookmarkEnd w:id="10"/>
    </w:p>
    <w:p>
      <w:pPr>
        <w:pStyle w:val="12"/>
        <w:widowControl/>
        <w:shd w:val="clear" w:color="auto" w:fill="FFFFFF"/>
        <w:spacing w:beforeAutospacing="0" w:afterAutospacing="0" w:line="520" w:lineRule="exact"/>
        <w:ind w:firstLine="560"/>
        <w:rPr>
          <w:rFonts w:ascii="宋体" w:hAnsi="宋体" w:eastAsia="宋体" w:cs="宋体"/>
          <w:color w:val="000000" w:themeColor="text1"/>
          <w:sz w:val="28"/>
          <w:szCs w:val="28"/>
          <w:shd w:val="clear" w:color="auto" w:fill="FFFFFF"/>
          <w:lang w:bidi="ar"/>
          <w14:textFill>
            <w14:solidFill>
              <w14:schemeClr w14:val="tx1"/>
            </w14:solidFill>
          </w14:textFill>
        </w:rPr>
      </w:pPr>
      <w:r>
        <w:rPr>
          <w:rFonts w:hint="eastAsia" w:ascii="宋体" w:hAnsi="宋体" w:eastAsia="宋体" w:cs="宋体"/>
          <w:color w:val="000000" w:themeColor="text1"/>
          <w:sz w:val="28"/>
          <w:szCs w:val="28"/>
          <w:shd w:val="clear" w:color="auto" w:fill="FFFFFF"/>
          <w:lang w:bidi="ar"/>
          <w14:textFill>
            <w14:solidFill>
              <w14:schemeClr w14:val="tx1"/>
            </w14:solidFill>
          </w14:textFill>
        </w:rPr>
        <w:t>长三角一体化发展战略实施，将有利于我市体育积极主动融入长三角一体化发展，学习借鉴先进经验，等高对接体育产业发展。随着滁州市“十三五”规划中，“推动五个发展，实现四个翻番，冲刺全省第三”目标的实现。滁州市经济发展进入高质量阶段，供给侧结构性改革不断优化，新产业、新消费成为促进经济发展的重要引擎。体育产业作为绿色产业、朝阳产业受到国家及各级政府政策支持，以创新引领全民健身、体育消费和体育产业高质量发展将成为体育发展的新模式，体育开启了新一轮发展黄金期。</w:t>
      </w:r>
    </w:p>
    <w:p>
      <w:pPr>
        <w:pStyle w:val="12"/>
        <w:widowControl/>
        <w:shd w:val="clear" w:color="auto" w:fill="FFFFFF"/>
        <w:spacing w:beforeAutospacing="0" w:afterAutospacing="0" w:line="520" w:lineRule="exact"/>
        <w:ind w:firstLine="560"/>
        <w:rPr>
          <w:rFonts w:ascii="宋体" w:hAnsi="宋体" w:eastAsia="宋体" w:cs="宋体"/>
          <w:color w:val="000000" w:themeColor="text1"/>
          <w:sz w:val="28"/>
          <w:szCs w:val="28"/>
          <w:shd w:val="clear" w:color="auto" w:fill="FFFFFF"/>
          <w:lang w:bidi="ar"/>
          <w14:textFill>
            <w14:solidFill>
              <w14:schemeClr w14:val="tx1"/>
            </w14:solidFill>
          </w14:textFill>
        </w:rPr>
      </w:pPr>
      <w:r>
        <w:rPr>
          <w:rFonts w:hint="eastAsia" w:ascii="宋体" w:hAnsi="宋体" w:eastAsia="宋体" w:cs="宋体"/>
          <w:color w:val="000000" w:themeColor="text1"/>
          <w:sz w:val="28"/>
          <w:szCs w:val="28"/>
          <w:shd w:val="clear" w:color="auto" w:fill="FFFFFF"/>
          <w:lang w:bidi="ar"/>
          <w14:textFill>
            <w14:solidFill>
              <w14:schemeClr w14:val="tx1"/>
            </w14:solidFill>
          </w14:textFill>
        </w:rPr>
        <w:t>新一轮信息革命和科技革命，将通过5G、物联网、大数据和人工智能等新技术手段为体育各领域发展注入新动力。新的教育理念、消费观念、消费模式、传播方式以及城镇化建设提供了体育更强大的内生动力。“互联网+”为标志的移动互联网、物联网、大数据、云计算以及5G+8K等新技术在体育领域场景应用，是目前体育产业发展的趋势。随着《滁州市国民经济和社会发展第十四个五年规划》中，“创新驱动”、“制造强市”等发展战略的提出，利用我市拥有的产业优势，结合体育产业发展的新技术，推动体育产业的快速崛起，更好地满足广大人民群众健身与健康需求，进一步提升竞技体育水平，构建大健康的体育产业新生态，智慧体育将成为我市体育发展的新动能。</w:t>
      </w:r>
    </w:p>
    <w:p>
      <w:pPr>
        <w:pStyle w:val="5"/>
        <w:spacing w:line="520" w:lineRule="exact"/>
        <w:rPr>
          <w:color w:val="000000" w:themeColor="text1"/>
          <w14:textFill>
            <w14:solidFill>
              <w14:schemeClr w14:val="tx1"/>
            </w14:solidFill>
          </w14:textFill>
        </w:rPr>
      </w:pPr>
      <w:bookmarkStart w:id="11" w:name="_Toc3763"/>
      <w:r>
        <w:rPr>
          <w:rFonts w:hint="eastAsia"/>
          <w:color w:val="000000" w:themeColor="text1"/>
          <w14:textFill>
            <w14:solidFill>
              <w14:schemeClr w14:val="tx1"/>
            </w14:solidFill>
          </w14:textFill>
        </w:rPr>
        <w:t>3.举办省十五运会为新契机，搭建体育发展新平台</w:t>
      </w:r>
      <w:bookmarkEnd w:id="11"/>
      <w:r>
        <w:rPr>
          <w:rFonts w:hint="eastAsia"/>
          <w:color w:val="000000" w:themeColor="text1"/>
          <w14:textFill>
            <w14:solidFill>
              <w14:schemeClr w14:val="tx1"/>
            </w14:solidFill>
          </w14:textFill>
        </w:rPr>
        <w:t>　</w:t>
      </w:r>
    </w:p>
    <w:p>
      <w:pPr>
        <w:pStyle w:val="12"/>
        <w:widowControl/>
        <w:shd w:val="clear" w:color="auto" w:fill="FFFFFF"/>
        <w:spacing w:beforeAutospacing="0" w:afterAutospacing="0" w:line="520" w:lineRule="exact"/>
        <w:ind w:firstLine="560"/>
        <w:rPr>
          <w:rFonts w:ascii="宋体" w:hAnsi="宋体" w:eastAsia="宋体" w:cs="宋体"/>
          <w:color w:val="000000" w:themeColor="text1"/>
          <w:sz w:val="28"/>
          <w:szCs w:val="28"/>
          <w:shd w:val="clear" w:color="auto" w:fill="FFFFFF"/>
          <w:lang w:bidi="ar"/>
          <w14:textFill>
            <w14:solidFill>
              <w14:schemeClr w14:val="tx1"/>
            </w14:solidFill>
          </w14:textFill>
        </w:rPr>
      </w:pPr>
      <w:r>
        <w:rPr>
          <w:rFonts w:hint="eastAsia" w:ascii="宋体" w:hAnsi="宋体" w:eastAsia="宋体" w:cs="宋体"/>
          <w:color w:val="000000" w:themeColor="text1"/>
          <w:sz w:val="28"/>
          <w:szCs w:val="28"/>
          <w:shd w:val="clear" w:color="auto" w:fill="FFFFFF"/>
          <w:lang w:bidi="ar"/>
          <w14:textFill>
            <w14:solidFill>
              <w14:schemeClr w14:val="tx1"/>
            </w14:solidFill>
          </w14:textFill>
        </w:rPr>
        <w:t>2022年省运会赛事的承办，有利于提升青少年体质健康水平、选拔省优秀运动队后备人才、推动我市竞技体育可持续发展，并带动群众体育和体育产业的协调发展，助力全民健身国家战略的实施，加快建设体育强市步伐。另一方面，省运会效应还体现在以体育场馆建设、运营为基础，带动体育培训、体育竞赛两大核心板块，再辐射到体育旅游、体育制造、体育传媒等周边板块，积极推动我市体育产业与长三角体育产业一体化协同发展，增强体育产业发展动能，促进体育产业基础高级化、链条现代化，为我市体育产业形成“城市体育综合产业链”提供重要平台。</w:t>
      </w:r>
    </w:p>
    <w:p>
      <w:pPr>
        <w:pStyle w:val="3"/>
        <w:spacing w:line="520" w:lineRule="exact"/>
        <w:rPr>
          <w:rFonts w:hint="default"/>
          <w:color w:val="000000" w:themeColor="text1"/>
          <w14:textFill>
            <w14:solidFill>
              <w14:schemeClr w14:val="tx1"/>
            </w14:solidFill>
          </w14:textFill>
        </w:rPr>
      </w:pPr>
      <w:bookmarkStart w:id="12" w:name="_Toc22646"/>
      <w:r>
        <w:rPr>
          <w:color w:val="000000" w:themeColor="text1"/>
          <w14:textFill>
            <w14:solidFill>
              <w14:schemeClr w14:val="tx1"/>
            </w14:solidFill>
          </w14:textFill>
        </w:rPr>
        <w:t>二、滁州市体育事业“十四五”发展指导思想和目标</w:t>
      </w:r>
      <w:bookmarkEnd w:id="12"/>
    </w:p>
    <w:p>
      <w:pPr>
        <w:pStyle w:val="4"/>
        <w:spacing w:line="520" w:lineRule="exact"/>
        <w:rPr>
          <w:color w:val="000000" w:themeColor="text1"/>
          <w14:textFill>
            <w14:solidFill>
              <w14:schemeClr w14:val="tx1"/>
            </w14:solidFill>
          </w14:textFill>
        </w:rPr>
      </w:pPr>
      <w:bookmarkStart w:id="13" w:name="_Toc25658"/>
      <w:r>
        <w:rPr>
          <w:rFonts w:hint="eastAsia"/>
          <w:color w:val="000000" w:themeColor="text1"/>
          <w14:textFill>
            <w14:solidFill>
              <w14:schemeClr w14:val="tx1"/>
            </w14:solidFill>
          </w14:textFill>
        </w:rPr>
        <w:t>（四）指导思想</w:t>
      </w:r>
      <w:bookmarkEnd w:id="13"/>
    </w:p>
    <w:p>
      <w:pPr>
        <w:pStyle w:val="12"/>
        <w:widowControl/>
        <w:shd w:val="clear" w:color="auto" w:fill="FFFFFF"/>
        <w:spacing w:beforeAutospacing="0" w:afterAutospacing="0" w:line="520" w:lineRule="exact"/>
        <w:ind w:firstLine="560"/>
        <w:rPr>
          <w:rFonts w:ascii="宋体" w:hAnsi="宋体" w:eastAsia="宋体" w:cs="宋体"/>
          <w:color w:val="000000" w:themeColor="text1"/>
          <w:sz w:val="28"/>
          <w:szCs w:val="28"/>
          <w:shd w:val="clear" w:color="auto" w:fill="FFFFFF"/>
          <w:lang w:bidi="ar"/>
          <w14:textFill>
            <w14:solidFill>
              <w14:schemeClr w14:val="tx1"/>
            </w14:solidFill>
          </w14:textFill>
        </w:rPr>
      </w:pPr>
      <w:r>
        <w:rPr>
          <w:rFonts w:hint="eastAsia" w:ascii="宋体" w:hAnsi="宋体" w:eastAsia="宋体" w:cs="宋体"/>
          <w:color w:val="000000" w:themeColor="text1"/>
          <w:sz w:val="28"/>
          <w:szCs w:val="28"/>
          <w:shd w:val="clear" w:color="auto" w:fill="FFFFFF"/>
          <w:lang w:bidi="ar"/>
          <w14:textFill>
            <w14:solidFill>
              <w14:schemeClr w14:val="tx1"/>
            </w14:solidFill>
          </w14:textFill>
        </w:rPr>
        <w:t>高举中国特色社会主义伟大旗帜，深入学习贯彻党的十九大和十九届二中、三中、四中、五中、</w:t>
      </w:r>
      <w:r>
        <w:rPr>
          <w:rFonts w:hint="eastAsia" w:ascii="宋体" w:hAnsi="宋体" w:eastAsia="宋体" w:cs="宋体"/>
          <w:kern w:val="0"/>
          <w:sz w:val="28"/>
          <w:szCs w:val="28"/>
          <w:shd w:val="clear" w:color="auto" w:fill="FFFFFF"/>
          <w:lang w:val="en-US" w:eastAsia="zh-CN" w:bidi="ar"/>
        </w:rPr>
        <w:t>六中全会精神，坚持以马克思列宁主义、毛泽东思想、邓小平理论、“三个代表”重要思想、科学发展观、习近平新时代中国特色社会主义思想为指</w:t>
      </w:r>
      <w:r>
        <w:rPr>
          <w:rFonts w:hint="eastAsia" w:ascii="宋体" w:hAnsi="宋体" w:eastAsia="宋体" w:cs="宋体"/>
          <w:color w:val="000000" w:themeColor="text1"/>
          <w:sz w:val="28"/>
          <w:szCs w:val="28"/>
          <w:shd w:val="clear" w:color="auto" w:fill="FFFFFF"/>
          <w:lang w:bidi="ar"/>
          <w14:textFill>
            <w14:solidFill>
              <w14:schemeClr w14:val="tx1"/>
            </w14:solidFill>
          </w14:textFill>
        </w:rPr>
        <w:t>导，以习近平总书记关于体育的重要论述和重要指示批示精神为根本遵循,强化“两个坚持”、实现“两个更大”，紧紧围绕建设体育强市目标，立足新发展阶段，贯彻新发展理念，服务构建新发展格局，坚持举市体制与市场机制相结合，以推动高质量发展为主题，以供给侧结构性改革和需求侧改革为主线，以改革创新为根本动力，以满足人民日益增长的美好体育需求为根本目的，聚焦重点领域和关键环节，统筹群众体育、竞技体育、体育产业、体育文化高质量发展，推进全民健身与全民健康深度融合，推进体育治理体系和治理能力现代化，全面提升公共体育服务能力和水平，全面提升竞技体育的竞争力，全面提升体育产业发展规模和层次，在全省率先实现体育现代化。</w:t>
      </w:r>
    </w:p>
    <w:p>
      <w:pPr>
        <w:pStyle w:val="4"/>
        <w:spacing w:line="520" w:lineRule="exact"/>
        <w:rPr>
          <w:color w:val="000000" w:themeColor="text1"/>
          <w14:textFill>
            <w14:solidFill>
              <w14:schemeClr w14:val="tx1"/>
            </w14:solidFill>
          </w14:textFill>
        </w:rPr>
      </w:pPr>
      <w:bookmarkStart w:id="14" w:name="_Toc32504"/>
      <w:r>
        <w:rPr>
          <w:rFonts w:hint="eastAsia"/>
          <w:color w:val="000000" w:themeColor="text1"/>
          <w14:textFill>
            <w14:solidFill>
              <w14:schemeClr w14:val="tx1"/>
            </w14:solidFill>
          </w14:textFill>
        </w:rPr>
        <w:t>（五）发展目标</w:t>
      </w:r>
      <w:bookmarkEnd w:id="14"/>
    </w:p>
    <w:p>
      <w:pPr>
        <w:pStyle w:val="5"/>
        <w:spacing w:line="520" w:lineRule="exact"/>
        <w:rPr>
          <w:color w:val="000000" w:themeColor="text1"/>
          <w14:textFill>
            <w14:solidFill>
              <w14:schemeClr w14:val="tx1"/>
            </w14:solidFill>
          </w14:textFill>
        </w:rPr>
      </w:pPr>
      <w:bookmarkStart w:id="15" w:name="_Toc18701"/>
      <w:r>
        <w:rPr>
          <w:rFonts w:hint="eastAsia"/>
          <w:color w:val="000000" w:themeColor="text1"/>
          <w14:textFill>
            <w14:solidFill>
              <w14:schemeClr w14:val="tx1"/>
            </w14:solidFill>
          </w14:textFill>
        </w:rPr>
        <w:t>1.提高全民健身服务水平</w:t>
      </w:r>
      <w:bookmarkEnd w:id="15"/>
    </w:p>
    <w:p>
      <w:pPr>
        <w:pStyle w:val="12"/>
        <w:widowControl/>
        <w:shd w:val="clear" w:color="auto" w:fill="FFFFFF"/>
        <w:spacing w:beforeAutospacing="0" w:afterAutospacing="0" w:line="520" w:lineRule="exact"/>
        <w:ind w:firstLine="560" w:firstLineChars="200"/>
        <w:rPr>
          <w:rFonts w:ascii="宋体" w:hAnsi="宋体" w:eastAsia="宋体" w:cs="宋体"/>
          <w:color w:val="000000" w:themeColor="text1"/>
          <w:sz w:val="28"/>
          <w:szCs w:val="28"/>
          <w:shd w:val="clear" w:color="auto" w:fill="FFFFFF"/>
          <w:lang w:bidi="ar"/>
          <w14:textFill>
            <w14:solidFill>
              <w14:schemeClr w14:val="tx1"/>
            </w14:solidFill>
          </w14:textFill>
        </w:rPr>
      </w:pPr>
      <w:r>
        <w:rPr>
          <w:rFonts w:hint="eastAsia" w:ascii="宋体" w:hAnsi="宋体" w:eastAsia="宋体" w:cs="宋体"/>
          <w:color w:val="000000" w:themeColor="text1"/>
          <w:sz w:val="28"/>
          <w:szCs w:val="28"/>
          <w:shd w:val="clear" w:color="auto" w:fill="FFFFFF"/>
          <w:lang w:bidi="ar"/>
          <w14:textFill>
            <w14:solidFill>
              <w14:schemeClr w14:val="tx1"/>
            </w14:solidFill>
          </w14:textFill>
        </w:rPr>
        <w:t xml:space="preserve">落实《全民健身计划 (2021—2025年)》,构建体制机制更灵活、要素支撑更强大、资源分布更均衡、健身设施更便捷、赛事活动更丰富、体育组织更健全、健身指导更科学、群众参与更广泛的全民健身公共服务体系。坚持线上线下结合、传统新兴并举,开展群众喜闻乐见、丰富多彩的全民健身赛事活动，完善全民健身与全民健康深度融合的协同联动机制，推动全民健身智慧化发展。大力推广居家健身和全民健身网络赛事活动。人民健身意识和身体素养进一步提升，群众体育工作的体制机制更加健全，人民群众获得感和满意度显著提高。到2025年，人均体育场地面积达到2.60平方米，经常参加体育锻炼人数比例超过42%，城乡居民达到《国民体质测定标准》合格以上的人数比例达到 92%，每千人拥有社会体育指导员3名，创新社会体育指导员培养模式，完善社会指导员培训、激励和保障机制，进一步扩大社会体育指导员的规模，提升服务意识。  </w:t>
      </w:r>
    </w:p>
    <w:p>
      <w:pPr>
        <w:pStyle w:val="5"/>
        <w:spacing w:line="520" w:lineRule="exact"/>
        <w:rPr>
          <w:color w:val="000000" w:themeColor="text1"/>
          <w14:textFill>
            <w14:solidFill>
              <w14:schemeClr w14:val="tx1"/>
            </w14:solidFill>
          </w14:textFill>
        </w:rPr>
      </w:pPr>
      <w:bookmarkStart w:id="16" w:name="_Toc24204"/>
      <w:r>
        <w:rPr>
          <w:rFonts w:hint="eastAsia"/>
          <w:color w:val="000000" w:themeColor="text1"/>
          <w14:textFill>
            <w14:solidFill>
              <w14:schemeClr w14:val="tx1"/>
            </w14:solidFill>
          </w14:textFill>
        </w:rPr>
        <w:t>2.提升竞技体育综合实力</w:t>
      </w:r>
      <w:bookmarkEnd w:id="16"/>
    </w:p>
    <w:p>
      <w:pPr>
        <w:spacing w:line="520" w:lineRule="exact"/>
        <w:ind w:firstLine="560"/>
        <w:jc w:val="lef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shd w:val="clear" w:color="auto" w:fill="FFFFFF"/>
          <w:lang w:bidi="ar"/>
          <w14:textFill>
            <w14:solidFill>
              <w14:schemeClr w14:val="tx1"/>
            </w14:solidFill>
          </w14:textFill>
        </w:rPr>
        <w:t>力争参加2022年北京冬奥会、2024年巴黎奥运会；保障手球等传统优势项目取得优异成绩；2022年省运会超过滁州市历届最好成绩，手球、体操、排球等项目在全省保持优势和竞争力，</w:t>
      </w:r>
      <w:r>
        <w:rPr>
          <w:rFonts w:hint="eastAsia" w:ascii="宋体" w:hAnsi="宋体" w:eastAsia="宋体" w:cs="宋体"/>
          <w:color w:val="000000" w:themeColor="text1"/>
          <w:kern w:val="0"/>
          <w:sz w:val="28"/>
          <w:szCs w:val="28"/>
          <w:shd w:val="clear" w:color="auto" w:fill="FFFFFF"/>
          <w:lang w:val="en-US" w:eastAsia="zh-CN" w:bidi="ar"/>
          <w14:textFill>
            <w14:solidFill>
              <w14:schemeClr w14:val="tx1"/>
            </w14:solidFill>
          </w14:textFill>
        </w:rPr>
        <w:t>争四冲三，</w:t>
      </w:r>
      <w:r>
        <w:rPr>
          <w:rFonts w:hint="eastAsia" w:ascii="宋体" w:hAnsi="宋体" w:eastAsia="宋体" w:cs="宋体"/>
          <w:color w:val="000000" w:themeColor="text1"/>
          <w:kern w:val="0"/>
          <w:sz w:val="28"/>
          <w:szCs w:val="28"/>
          <w:shd w:val="clear" w:color="auto" w:fill="FFFFFF"/>
          <w:lang w:bidi="ar"/>
          <w14:textFill>
            <w14:solidFill>
              <w14:schemeClr w14:val="tx1"/>
            </w14:solidFill>
          </w14:textFill>
        </w:rPr>
        <w:t>排名第一方阵；争取每届青运会参赛人数不断增加，参赛成绩不断提高，力争总分列全国前三十位，实现运动成绩和精神文明双丰收。建设好现有的国家级高水平体育后备人才基地；市级高水平体育后备人才基地达到8个以上；市级训练点达到</w:t>
      </w:r>
      <w:r>
        <w:rPr>
          <w:rFonts w:hint="eastAsia" w:ascii="宋体" w:hAnsi="宋体" w:eastAsia="宋体" w:cs="宋体"/>
          <w:kern w:val="0"/>
          <w:sz w:val="28"/>
          <w:szCs w:val="28"/>
          <w:shd w:val="clear" w:color="auto" w:fill="FFFFFF"/>
          <w:lang w:val="en-US" w:eastAsia="zh-CN" w:bidi="ar"/>
        </w:rPr>
        <w:t>40个以上；市级传特校达到50个以上。市业余体校在训人数达到150名以上，市级高水平体育后备人才基地、训练点、传特校在训人数达到2000人以上，县（市、区）级传特校在训人数达到4000人以上。在省专业运动队、省体育运动职业学校等高水平运动队训练的滁籍运动员人数达到150名以上，在</w:t>
      </w:r>
      <w:r>
        <w:rPr>
          <w:rFonts w:hint="eastAsia" w:ascii="宋体" w:hAnsi="宋体" w:eastAsia="宋体" w:cs="宋体"/>
          <w:color w:val="000000" w:themeColor="text1"/>
          <w:kern w:val="0"/>
          <w:sz w:val="28"/>
          <w:szCs w:val="28"/>
          <w:shd w:val="clear" w:color="auto" w:fill="FFFFFF"/>
          <w:lang w:bidi="ar"/>
          <w14:textFill>
            <w14:solidFill>
              <w14:schemeClr w14:val="tx1"/>
            </w14:solidFill>
          </w14:textFill>
        </w:rPr>
        <w:t>国家队训练的滁籍运动员人数达到10名以上。</w:t>
      </w:r>
    </w:p>
    <w:p>
      <w:pPr>
        <w:pStyle w:val="5"/>
        <w:spacing w:line="520" w:lineRule="exact"/>
        <w:rPr>
          <w:color w:val="FF0000"/>
        </w:rPr>
      </w:pPr>
      <w:bookmarkStart w:id="17" w:name="_Toc15049"/>
      <w:r>
        <w:rPr>
          <w:rFonts w:hint="eastAsia"/>
          <w:color w:val="000000" w:themeColor="text1"/>
          <w14:textFill>
            <w14:solidFill>
              <w14:schemeClr w14:val="tx1"/>
            </w14:solidFill>
          </w14:textFill>
        </w:rPr>
        <w:t>3.促进青少年健康发展</w:t>
      </w:r>
      <w:bookmarkEnd w:id="17"/>
    </w:p>
    <w:p>
      <w:pPr>
        <w:pStyle w:val="12"/>
        <w:widowControl/>
        <w:shd w:val="clear" w:color="auto" w:fill="FFFFFF"/>
        <w:spacing w:beforeAutospacing="0" w:afterAutospacing="0" w:line="520" w:lineRule="exact"/>
        <w:ind w:firstLine="560" w:firstLineChars="200"/>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为进一步推动青少年文化学习和体育锻炼协调发展，促进青少年健康成长、锤炼意志、健全人格，体教融合取得实质性进展，青少年普遍掌握1-2项运动技能。突出青少年体育在建设体育强市中的战略地位，十四五期间，以青少年体教融合发展为核心目标，强化学校体育和竞技体育的政策保障，提升各运动项目体育传统特色校和滁州市体育运动学校的管理水平，大力培养体育教师和教练员队伍，推进社会青少年体育培训机构规范化发展，多措并举培养德智体美劳全面发展的社会主义建设者和接班人。到2025年，构建好更加适应社会发展需要的青少年体教融合发展模式，形成优势项目特色鲜明、多元主体协同配合的竞技体育后备人才培养体系。</w:t>
      </w:r>
    </w:p>
    <w:p>
      <w:pPr>
        <w:pStyle w:val="5"/>
        <w:spacing w:line="520" w:lineRule="exact"/>
        <w:rPr>
          <w:color w:val="000000" w:themeColor="text1"/>
          <w14:textFill>
            <w14:solidFill>
              <w14:schemeClr w14:val="tx1"/>
            </w14:solidFill>
          </w14:textFill>
        </w:rPr>
      </w:pPr>
      <w:bookmarkStart w:id="18" w:name="_Toc10264"/>
      <w:r>
        <w:rPr>
          <w:rFonts w:hint="eastAsia"/>
          <w:color w:val="000000" w:themeColor="text1"/>
          <w14:textFill>
            <w14:solidFill>
              <w14:schemeClr w14:val="tx1"/>
            </w14:solidFill>
          </w14:textFill>
        </w:rPr>
        <w:t>4.提升体育产业新高度</w:t>
      </w:r>
      <w:bookmarkEnd w:id="18"/>
    </w:p>
    <w:p>
      <w:pPr>
        <w:pStyle w:val="12"/>
        <w:widowControl/>
        <w:shd w:val="clear" w:color="auto" w:fill="FFFFFF"/>
        <w:spacing w:beforeAutospacing="0" w:afterAutospacing="0" w:line="520" w:lineRule="exact"/>
        <w:ind w:firstLine="560" w:firstLineChars="200"/>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到2025年，现代体育产业体系逐步完善，新型体育产业结构不断优化，体育产业发展水平位居全省前列，将我市建设成为全省有影响力的体育产业发展高地，积极申报创建国家体育产业示范基地。到2025年，全市体育产业总规模达到150亿元以上，健身休闲产业总规模达到90亿元以上，</w:t>
      </w:r>
      <w:r>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t>积极培育</w:t>
      </w:r>
      <w:r>
        <w:rPr>
          <w:rFonts w:hint="eastAsia" w:ascii="宋体" w:hAnsi="宋体" w:eastAsia="宋体" w:cs="宋体"/>
          <w:color w:val="000000" w:themeColor="text1"/>
          <w:sz w:val="28"/>
          <w:szCs w:val="28"/>
          <w:shd w:val="clear" w:color="auto" w:fill="FFFFFF"/>
          <w14:textFill>
            <w14:solidFill>
              <w14:schemeClr w14:val="tx1"/>
            </w14:solidFill>
          </w14:textFill>
        </w:rPr>
        <w:t>1个省级体育产业示范基地，出台《滁州市体育产业示范基地（示范单位）评选办法》，培育1-2家以健身休闲服务为核心的市级体育产业示范基地。</w:t>
      </w:r>
    </w:p>
    <w:p>
      <w:pPr>
        <w:pStyle w:val="5"/>
        <w:spacing w:line="520" w:lineRule="exact"/>
        <w:rPr>
          <w:color w:val="000000" w:themeColor="text1"/>
          <w14:textFill>
            <w14:solidFill>
              <w14:schemeClr w14:val="tx1"/>
            </w14:solidFill>
          </w14:textFill>
        </w:rPr>
      </w:pPr>
      <w:bookmarkStart w:id="19" w:name="_Toc4485"/>
      <w:r>
        <w:rPr>
          <w:rFonts w:hint="eastAsia"/>
          <w:color w:val="000000" w:themeColor="text1"/>
          <w14:textFill>
            <w14:solidFill>
              <w14:schemeClr w14:val="tx1"/>
            </w14:solidFill>
          </w14:textFill>
        </w:rPr>
        <w:t>5.营造体育文化新氛围</w:t>
      </w:r>
      <w:bookmarkEnd w:id="19"/>
    </w:p>
    <w:p>
      <w:pPr>
        <w:pStyle w:val="12"/>
        <w:widowControl/>
        <w:shd w:val="clear" w:color="auto" w:fill="FFFFFF"/>
        <w:spacing w:beforeAutospacing="0" w:afterAutospacing="0" w:line="520" w:lineRule="exact"/>
        <w:ind w:firstLine="560" w:firstLineChars="200"/>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社会主义核心价值观在体育领域更加彰显。加快体育文化阵地建设，加强中华优秀传统体育文化研究和保护工作，积极成立滁州市体育文化协会，深入挖掘运动项目文化，开展青少年运动员体育精神和爱国主义教育活动，积极开展体育文化作品创作活动，加强体育文化对外交流活动，特别是与长三角地区的体育文化交流。</w:t>
      </w:r>
    </w:p>
    <w:p>
      <w:pPr>
        <w:pStyle w:val="5"/>
        <w:spacing w:line="520" w:lineRule="exact"/>
        <w:rPr>
          <w:color w:val="000000" w:themeColor="text1"/>
          <w14:textFill>
            <w14:solidFill>
              <w14:schemeClr w14:val="tx1"/>
            </w14:solidFill>
          </w14:textFill>
        </w:rPr>
      </w:pPr>
      <w:bookmarkStart w:id="20" w:name="_Toc23263"/>
      <w:r>
        <w:rPr>
          <w:rFonts w:hint="eastAsia"/>
          <w:color w:val="000000" w:themeColor="text1"/>
          <w14:textFill>
            <w14:solidFill>
              <w14:schemeClr w14:val="tx1"/>
            </w14:solidFill>
          </w14:textFill>
        </w:rPr>
        <w:t>6.全面深化依法治体</w:t>
      </w:r>
      <w:bookmarkEnd w:id="20"/>
    </w:p>
    <w:p>
      <w:pPr>
        <w:pStyle w:val="12"/>
        <w:widowControl/>
        <w:shd w:val="clear" w:color="auto" w:fill="FFFFFF"/>
        <w:spacing w:beforeAutospacing="0" w:afterAutospacing="0" w:line="520" w:lineRule="exact"/>
        <w:ind w:firstLine="560" w:firstLineChars="200"/>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牢固树立依法决策意识，严格遵循法定权限和程序作出决策，确保决策内容符合法律法规规定。进一步加强和规范体育行政执法，提升体育市场的监管水平。加强法治宣传教育，在各项体育事业发展进程中营造尊法、学法、懂法、守法的良好氛围。深入开展赛风赛纪和反兴奋剂专项治理。</w:t>
      </w:r>
    </w:p>
    <w:p>
      <w:pPr>
        <w:pStyle w:val="3"/>
        <w:spacing w:line="520" w:lineRule="exact"/>
        <w:rPr>
          <w:rFonts w:hint="default"/>
          <w:color w:val="000000" w:themeColor="text1"/>
          <w14:textFill>
            <w14:solidFill>
              <w14:schemeClr w14:val="tx1"/>
            </w14:solidFill>
          </w14:textFill>
        </w:rPr>
      </w:pPr>
      <w:bookmarkStart w:id="21" w:name="_Toc24800"/>
      <w:r>
        <w:rPr>
          <w:color w:val="000000" w:themeColor="text1"/>
          <w14:textFill>
            <w14:solidFill>
              <w14:schemeClr w14:val="tx1"/>
            </w14:solidFill>
          </w14:textFill>
        </w:rPr>
        <w:t>三、滁州市体育事业“十四五”发展主要任务</w:t>
      </w:r>
      <w:bookmarkEnd w:id="21"/>
    </w:p>
    <w:p/>
    <w:p>
      <w:pPr>
        <w:pStyle w:val="4"/>
        <w:spacing w:line="520" w:lineRule="exact"/>
        <w:rPr>
          <w:color w:val="000000" w:themeColor="text1"/>
          <w14:textFill>
            <w14:solidFill>
              <w14:schemeClr w14:val="tx1"/>
            </w14:solidFill>
          </w14:textFill>
        </w:rPr>
      </w:pPr>
      <w:bookmarkStart w:id="22" w:name="_Toc4061"/>
      <w:r>
        <w:rPr>
          <w:rFonts w:hint="eastAsia"/>
          <w:color w:val="000000" w:themeColor="text1"/>
          <w14:textFill>
            <w14:solidFill>
              <w14:schemeClr w14:val="tx1"/>
            </w14:solidFill>
          </w14:textFill>
        </w:rPr>
        <w:t>（六）科学统筹健身资源，提高群众体育发展质量</w:t>
      </w:r>
      <w:bookmarkEnd w:id="22"/>
    </w:p>
    <w:p>
      <w:pPr>
        <w:pStyle w:val="5"/>
        <w:spacing w:line="520" w:lineRule="exact"/>
        <w:rPr>
          <w:color w:val="000000" w:themeColor="text1"/>
          <w14:textFill>
            <w14:solidFill>
              <w14:schemeClr w14:val="tx1"/>
            </w14:solidFill>
          </w14:textFill>
        </w:rPr>
      </w:pPr>
      <w:bookmarkStart w:id="23" w:name="_Toc19032"/>
      <w:r>
        <w:rPr>
          <w:rFonts w:hint="eastAsia"/>
          <w:color w:val="000000" w:themeColor="text1"/>
          <w14:textFill>
            <w14:solidFill>
              <w14:schemeClr w14:val="tx1"/>
            </w14:solidFill>
          </w14:textFill>
        </w:rPr>
        <w:t>1.加强场地设施建设</w:t>
      </w:r>
      <w:bookmarkEnd w:id="23"/>
    </w:p>
    <w:p>
      <w:pPr>
        <w:pStyle w:val="12"/>
        <w:widowControl/>
        <w:shd w:val="clear" w:color="auto" w:fill="FFFFFF"/>
        <w:spacing w:beforeAutospacing="0" w:afterAutospacing="0" w:line="520" w:lineRule="exact"/>
        <w:ind w:firstLine="560" w:firstLineChars="200"/>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评估健身设施布局和开放使用现状，做好“十四五”时期滁州市重大体育场馆设施规划建设工作，对照相关标准规范和群众就近健身需求，进一步改善公共体育场地设施供给。实施全民健身设施补短板五年行动计划，优先规划建设贴近社区、方便可达的健身设施，并统筹考虑增加应急避难（险）功能设置。</w:t>
      </w:r>
    </w:p>
    <w:p>
      <w:pPr>
        <w:pStyle w:val="12"/>
        <w:widowControl/>
        <w:shd w:val="clear" w:color="auto" w:fill="FFFFFF"/>
        <w:spacing w:beforeAutospacing="0" w:afterAutospacing="0" w:line="520" w:lineRule="exact"/>
        <w:ind w:firstLine="560" w:firstLineChars="200"/>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到2025年，新建居民区和社区严格按照“室内人均建筑面积不低于0.1平方米或室外人均用地不低于0.3平方米”标准配建全民健身设施</w:t>
      </w:r>
      <w:r>
        <w:rPr>
          <w:rFonts w:hint="eastAsia" w:ascii="宋体" w:hAnsi="宋体" w:eastAsia="宋体" w:cs="宋体"/>
          <w:color w:val="000000" w:themeColor="text1"/>
          <w:sz w:val="28"/>
          <w:szCs w:val="28"/>
          <w:shd w:val="clear" w:color="auto" w:fill="FFFFFF"/>
          <w:lang w:eastAsia="zh-CN"/>
          <w14:textFill>
            <w14:solidFill>
              <w14:schemeClr w14:val="tx1"/>
            </w14:solidFill>
          </w14:textFill>
        </w:rPr>
        <w:t>，</w:t>
      </w:r>
      <w:r>
        <w:rPr>
          <w:rFonts w:hint="eastAsia" w:ascii="宋体" w:hAnsi="宋体" w:eastAsia="宋体" w:cs="宋体"/>
          <w:color w:val="000000" w:themeColor="text1"/>
          <w:sz w:val="28"/>
          <w:szCs w:val="28"/>
          <w:shd w:val="clear" w:color="auto" w:fill="FFFFFF"/>
          <w14:textFill>
            <w14:solidFill>
              <w14:schemeClr w14:val="tx1"/>
            </w14:solidFill>
          </w14:textFill>
        </w:rPr>
        <w:t>结合城市旧小区改造，补建体育设施，增加体育活动空间。确保与住宅区主体工程同步设计、同步施工、同步验收、同步使用。建立健全社区足球场地，实现新建居住社区至少配建一片非标准足球场地，每万人拥有足球场地数量达到1.4块。严格落实城市居住社</w:t>
      </w:r>
      <w:r>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t>区全民健身设施建设标准，实现城镇社区“15分钟健身圈”和乡镇“三个一”全覆盖，重点建设贴近社区、方便可达的全民健身场地设施，加强实施全民健身补短板五年行动计划，推动公共体育场馆免费低收费开放,提升</w:t>
      </w:r>
      <w:r>
        <w:rPr>
          <w:rFonts w:hint="eastAsia" w:ascii="宋体" w:hAnsi="宋体" w:eastAsia="宋体" w:cs="宋体"/>
          <w:color w:val="000000" w:themeColor="text1"/>
          <w:sz w:val="28"/>
          <w:szCs w:val="28"/>
          <w:shd w:val="clear" w:color="auto" w:fill="FFFFFF"/>
          <w14:textFill>
            <w14:solidFill>
              <w14:schemeClr w14:val="tx1"/>
            </w14:solidFill>
          </w14:textFill>
        </w:rPr>
        <w:t>国民身体素质和健康水平，促进人的全面发展。</w:t>
      </w:r>
    </w:p>
    <w:p>
      <w:pPr>
        <w:pStyle w:val="5"/>
        <w:spacing w:line="520" w:lineRule="exact"/>
        <w:rPr>
          <w:color w:val="000000" w:themeColor="text1"/>
          <w14:textFill>
            <w14:solidFill>
              <w14:schemeClr w14:val="tx1"/>
            </w14:solidFill>
          </w14:textFill>
        </w:rPr>
      </w:pPr>
      <w:bookmarkStart w:id="24" w:name="_Toc25925"/>
      <w:r>
        <w:rPr>
          <w:rFonts w:hint="eastAsia"/>
          <w:color w:val="000000" w:themeColor="text1"/>
          <w14:textFill>
            <w14:solidFill>
              <w14:schemeClr w14:val="tx1"/>
            </w14:solidFill>
          </w14:textFill>
        </w:rPr>
        <w:t>2.健全健身组织网络</w:t>
      </w:r>
      <w:bookmarkEnd w:id="24"/>
    </w:p>
    <w:p>
      <w:pPr>
        <w:pStyle w:val="12"/>
        <w:widowControl/>
        <w:shd w:val="clear" w:color="auto" w:fill="FFFFFF"/>
        <w:spacing w:beforeAutospacing="0" w:afterAutospacing="0" w:line="520" w:lineRule="exact"/>
        <w:ind w:firstLine="560" w:firstLineChars="200"/>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积极发展城乡基层体育组织，形成遍布城乡、规范有序、富有活力的社会化全民健身组织网络。加快推动体育社会组织改革，加强各级体育社会组织规范化标准化建设，推动体育社会组织创新发展，完善体育社会组织网络，增强体育社会组织粘性和活力。鼓励发展社区体育社会组织，加强备案管理，在组织运作、活动场地、活动经费、人才队伍等方面给予支持。完善扶持引导政策和等级评估机制，加大政府向体育社会组织购买服务力度，激发体育社会组织活力。广泛组织优秀运动员、教练员、体育科技工作者、体育教师和社会热心人士从事义务健身辅导，加快形成覆盖城乡、服务到位的全民健身志愿服务队伍网络。</w:t>
      </w:r>
    </w:p>
    <w:p>
      <w:pPr>
        <w:pStyle w:val="5"/>
        <w:spacing w:line="520" w:lineRule="exact"/>
        <w:rPr>
          <w:color w:val="000000" w:themeColor="text1"/>
          <w14:textFill>
            <w14:solidFill>
              <w14:schemeClr w14:val="tx1"/>
            </w14:solidFill>
          </w14:textFill>
        </w:rPr>
      </w:pPr>
      <w:bookmarkStart w:id="25" w:name="_Toc4945"/>
      <w:r>
        <w:rPr>
          <w:rFonts w:hint="eastAsia"/>
          <w:color w:val="000000" w:themeColor="text1"/>
          <w14:textFill>
            <w14:solidFill>
              <w14:schemeClr w14:val="tx1"/>
            </w14:solidFill>
          </w14:textFill>
        </w:rPr>
        <w:t>3.丰富全民健身活动</w:t>
      </w:r>
      <w:bookmarkEnd w:id="25"/>
    </w:p>
    <w:p>
      <w:pPr>
        <w:spacing w:line="520" w:lineRule="exact"/>
        <w:ind w:firstLine="560" w:firstLineChars="200"/>
        <w:jc w:val="left"/>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kern w:val="0"/>
          <w:sz w:val="28"/>
          <w:szCs w:val="28"/>
          <w:shd w:val="clear" w:color="auto" w:fill="FFFFFF"/>
          <w:lang w:bidi="ar"/>
          <w14:textFill>
            <w14:solidFill>
              <w14:schemeClr w14:val="tx1"/>
            </w14:solidFill>
          </w14:textFill>
        </w:rPr>
        <w:t>做好滁州市直机关趣味运动会、畅游琅琊·品味山水、天长茉莉花体育节等较成熟品牌赛事的组织工作。充分利用元旦、新年、“6·10毛泽东题词纪念日”“8·8全民健身日”等节假日，组织办好登高、健身跑、全民健身展演等比赛和活动，丰富赛事活动内容，大力推广社区运动会，提升群众获得感、幸福感。开展国民体质监测活动和《国家体育锻炼标准》达标测试活动。继续拓展和深化一批具有滁州特色、皖东风格的特色品牌赛事活动，组织创编、发展适合全民健身的新兴运动项目，大力推广男女老少皆宜的匹克球运动。广泛开展民族、民俗、民间体育活动，推广普及广播体操等。按照常态化疫情防控要求，坚持线上线下结合、</w:t>
      </w:r>
      <w:r>
        <w:rPr>
          <w:rFonts w:ascii="宋体" w:hAnsi="宋体" w:eastAsia="宋体" w:cs="宋体"/>
          <w:color w:val="000000" w:themeColor="text1"/>
          <w:kern w:val="0"/>
          <w:sz w:val="28"/>
          <w:szCs w:val="28"/>
          <w:shd w:val="clear" w:color="auto" w:fill="FFFFFF"/>
          <w:lang w:bidi="ar"/>
          <w14:textFill>
            <w14:solidFill>
              <w14:schemeClr w14:val="tx1"/>
            </w14:solidFill>
          </w14:textFill>
        </w:rPr>
        <w:t>传统新兴并举</w:t>
      </w:r>
      <w:r>
        <w:rPr>
          <w:rFonts w:hint="eastAsia" w:ascii="宋体" w:hAnsi="宋体" w:eastAsia="宋体" w:cs="宋体"/>
          <w:color w:val="000000" w:themeColor="text1"/>
          <w:kern w:val="0"/>
          <w:sz w:val="28"/>
          <w:szCs w:val="28"/>
          <w:shd w:val="clear" w:color="auto" w:fill="FFFFFF"/>
          <w:lang w:bidi="ar"/>
          <w14:textFill>
            <w14:solidFill>
              <w14:schemeClr w14:val="tx1"/>
            </w14:solidFill>
          </w14:textFill>
        </w:rPr>
        <w:t>，大力推广居家健身和全民健身网络赛事活动，充分发挥全民健身在提升全民健康和免疫水平方面的积极作用。积极推进单项体育协会改革，使其机构更加健全、职责更加清晰、目标更加明确、管理更加规范，在高水平体育活动、比赛的组织与管理中发挥更大作用。</w:t>
      </w:r>
    </w:p>
    <w:p>
      <w:pPr>
        <w:pStyle w:val="5"/>
        <w:spacing w:line="520" w:lineRule="exact"/>
        <w:rPr>
          <w:color w:val="000000" w:themeColor="text1"/>
          <w14:textFill>
            <w14:solidFill>
              <w14:schemeClr w14:val="tx1"/>
            </w14:solidFill>
          </w14:textFill>
        </w:rPr>
      </w:pPr>
      <w:bookmarkStart w:id="26" w:name="_Toc13025"/>
      <w:r>
        <w:rPr>
          <w:rFonts w:hint="eastAsia"/>
          <w:color w:val="000000" w:themeColor="text1"/>
          <w14:textFill>
            <w14:solidFill>
              <w14:schemeClr w14:val="tx1"/>
            </w14:solidFill>
          </w14:textFill>
        </w:rPr>
        <w:t>4.加强科学健身指导</w:t>
      </w:r>
      <w:bookmarkEnd w:id="26"/>
    </w:p>
    <w:p>
      <w:pPr>
        <w:spacing w:line="520" w:lineRule="exact"/>
        <w:ind w:firstLine="560" w:firstLineChars="200"/>
        <w:jc w:val="left"/>
        <w:rPr>
          <w:rFonts w:ascii="宋体" w:hAnsi="宋体" w:eastAsia="宋体" w:cs="宋体"/>
          <w:color w:val="000000" w:themeColor="text1"/>
          <w:kern w:val="0"/>
          <w:sz w:val="28"/>
          <w:szCs w:val="28"/>
          <w:shd w:val="clear" w:color="auto" w:fill="FFFFFF"/>
          <w:lang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lang w:bidi="ar"/>
          <w14:textFill>
            <w14:solidFill>
              <w14:schemeClr w14:val="tx1"/>
            </w14:solidFill>
          </w14:textFill>
        </w:rPr>
        <w:t>建立滁州市科学健身“两库（科学健身专家库和科学健身资源库）、一机制（科学健身知识发布和传播机制）”，推广科学健身理念。到2025年，市、县两级科学健身指导中心全覆盖。整合相关资源，探索建立乡镇级健康促进服务中心，组织乡镇（街道）医务工作者、乡镇文体站工作人员开展科学健身指导服务。组织社会体育指导员以全市的晨晚练点为阵地，在社区开展日常性的科学健身指导服务，构建群众身边的科学健身指导服务网络。依托智慧体育平台，建设服务全市的科学健身服务管理系统。大力倡导志愿服务精神,</w:t>
      </w:r>
      <w:r>
        <w:rPr>
          <w:rFonts w:ascii="宋体" w:hAnsi="宋体" w:eastAsia="宋体" w:cs="宋体"/>
          <w:color w:val="000000" w:themeColor="text1"/>
          <w:kern w:val="0"/>
          <w:sz w:val="28"/>
          <w:szCs w:val="28"/>
          <w:shd w:val="clear" w:color="auto" w:fill="FFFFFF"/>
          <w:lang w:bidi="ar"/>
          <w14:textFill>
            <w14:solidFill>
              <w14:schemeClr w14:val="tx1"/>
            </w14:solidFill>
          </w14:textFill>
        </w:rPr>
        <w:t>鼓励全民健身志愿服务</w:t>
      </w:r>
      <w:r>
        <w:rPr>
          <w:rFonts w:hint="eastAsia" w:ascii="宋体" w:hAnsi="宋体" w:eastAsia="宋体" w:cs="宋体"/>
          <w:color w:val="000000" w:themeColor="text1"/>
          <w:kern w:val="0"/>
          <w:sz w:val="28"/>
          <w:szCs w:val="28"/>
          <w:shd w:val="clear" w:color="auto" w:fill="FFFFFF"/>
          <w:lang w:bidi="ar"/>
          <w14:textFill>
            <w14:solidFill>
              <w14:schemeClr w14:val="tx1"/>
            </w14:solidFill>
          </w14:textFill>
        </w:rPr>
        <w:t>队伍积极</w:t>
      </w:r>
      <w:r>
        <w:rPr>
          <w:rFonts w:ascii="宋体" w:hAnsi="宋体" w:eastAsia="宋体" w:cs="宋体"/>
          <w:color w:val="000000" w:themeColor="text1"/>
          <w:kern w:val="0"/>
          <w:sz w:val="28"/>
          <w:szCs w:val="28"/>
          <w:shd w:val="clear" w:color="auto" w:fill="FFFFFF"/>
          <w:lang w:bidi="ar"/>
          <w14:textFill>
            <w14:solidFill>
              <w14:schemeClr w14:val="tx1"/>
            </w14:solidFill>
          </w14:textFill>
        </w:rPr>
        <w:t>参与新时代文明实践,打造全民健身志愿服务品牌。</w:t>
      </w:r>
    </w:p>
    <w:p>
      <w:pPr>
        <w:pStyle w:val="4"/>
        <w:spacing w:line="520" w:lineRule="exact"/>
        <w:rPr>
          <w:color w:val="000000" w:themeColor="text1"/>
          <w14:textFill>
            <w14:solidFill>
              <w14:schemeClr w14:val="tx1"/>
            </w14:solidFill>
          </w14:textFill>
        </w:rPr>
      </w:pPr>
      <w:bookmarkStart w:id="27" w:name="_Toc9348"/>
      <w:r>
        <w:rPr>
          <w:rFonts w:hint="eastAsia"/>
          <w:color w:val="000000" w:themeColor="text1"/>
          <w14:textFill>
            <w14:solidFill>
              <w14:schemeClr w14:val="tx1"/>
            </w14:solidFill>
          </w14:textFill>
        </w:rPr>
        <w:t>（七）紧抓传统优势项目，不断提升竞技体育综合实力</w:t>
      </w:r>
      <w:bookmarkEnd w:id="27"/>
      <w:r>
        <w:rPr>
          <w:rFonts w:hint="eastAsia"/>
          <w:color w:val="000000" w:themeColor="text1"/>
          <w14:textFill>
            <w14:solidFill>
              <w14:schemeClr w14:val="tx1"/>
            </w14:solidFill>
          </w14:textFill>
        </w:rPr>
        <w:t>　　</w:t>
      </w:r>
    </w:p>
    <w:p>
      <w:pPr>
        <w:spacing w:line="520" w:lineRule="exact"/>
        <w:ind w:firstLine="560" w:firstLineChars="200"/>
        <w:jc w:val="lef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shd w:val="clear" w:color="auto" w:fill="FFFFFF"/>
          <w:lang w:bidi="ar"/>
          <w14:textFill>
            <w14:solidFill>
              <w14:schemeClr w14:val="tx1"/>
            </w14:solidFill>
          </w14:textFill>
        </w:rPr>
        <w:t>深化竞技体育管理体制改革，形成具有滁州特色、适应时代发展需要的竞技体育高质量发展新模式和集约化发展新格局，完善“初、</w:t>
      </w:r>
      <w:r>
        <w:rPr>
          <w:rFonts w:hint="eastAsia" w:ascii="宋体" w:hAnsi="宋体" w:eastAsia="宋体" w:cs="宋体"/>
          <w:color w:val="000000" w:themeColor="text1"/>
          <w:sz w:val="28"/>
          <w:szCs w:val="28"/>
          <w14:textFill>
            <w14:solidFill>
              <w14:schemeClr w14:val="tx1"/>
            </w14:solidFill>
          </w14:textFill>
        </w:rPr>
        <w:t>中、高训练一条龙”和“教科训一体化”的训练管理体制，项目结构和布局更加优化，训练备战竞赛体系更加完善，发展更具活力，竞技体育核心竞争力明显提升，竞技体育综合实力进入全省第一方阵。</w:t>
      </w:r>
    </w:p>
    <w:p>
      <w:pPr>
        <w:pStyle w:val="5"/>
        <w:spacing w:line="520" w:lineRule="exact"/>
        <w:rPr>
          <w:color w:val="000000" w:themeColor="text1"/>
          <w14:textFill>
            <w14:solidFill>
              <w14:schemeClr w14:val="tx1"/>
            </w14:solidFill>
          </w14:textFill>
        </w:rPr>
      </w:pPr>
      <w:bookmarkStart w:id="28" w:name="_Toc13909"/>
      <w:r>
        <w:rPr>
          <w:rFonts w:hint="eastAsia"/>
          <w:color w:val="000000" w:themeColor="text1"/>
          <w14:textFill>
            <w14:solidFill>
              <w14:schemeClr w14:val="tx1"/>
            </w14:solidFill>
          </w14:textFill>
        </w:rPr>
        <w:t>1.加强训练条件保障建设，夯实竞技训练基础</w:t>
      </w:r>
      <w:bookmarkEnd w:id="28"/>
      <w:r>
        <w:rPr>
          <w:rFonts w:hint="eastAsia"/>
          <w:color w:val="000000" w:themeColor="text1"/>
          <w14:textFill>
            <w14:solidFill>
              <w14:schemeClr w14:val="tx1"/>
            </w14:solidFill>
          </w14:textFill>
        </w:rPr>
        <w:t>　　</w:t>
      </w:r>
    </w:p>
    <w:p>
      <w:pPr>
        <w:spacing w:line="520" w:lineRule="exact"/>
        <w:ind w:firstLine="560" w:firstLineChars="200"/>
        <w:jc w:val="lef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shd w:val="clear" w:color="auto" w:fill="FFFFFF"/>
          <w:lang w:bidi="ar"/>
          <w14:textFill>
            <w14:solidFill>
              <w14:schemeClr w14:val="tx1"/>
            </w14:solidFill>
          </w14:textFill>
        </w:rPr>
        <w:t>以全国文明典范城市创建为契机，利用省十五运新建、改建体育场馆资源，满足竞技体育训练的各项功能需求。从根本上解决竞技训练场馆不足的短板，为竞技体育高质量发展提供坚实条件保障。</w:t>
      </w:r>
      <w:r>
        <w:rPr>
          <w:rFonts w:hint="eastAsia" w:ascii="宋体" w:hAnsi="宋体" w:eastAsia="宋体" w:cs="宋体"/>
          <w:color w:val="000000" w:themeColor="text1"/>
          <w:sz w:val="28"/>
          <w:szCs w:val="28"/>
          <w14:textFill>
            <w14:solidFill>
              <w14:schemeClr w14:val="tx1"/>
            </w14:solidFill>
          </w14:textFill>
        </w:rPr>
        <w:t>　</w:t>
      </w:r>
    </w:p>
    <w:p>
      <w:pPr>
        <w:pStyle w:val="5"/>
        <w:spacing w:line="520" w:lineRule="exact"/>
        <w:rPr>
          <w:color w:val="000000" w:themeColor="text1"/>
          <w14:textFill>
            <w14:solidFill>
              <w14:schemeClr w14:val="tx1"/>
            </w14:solidFill>
          </w14:textFill>
        </w:rPr>
      </w:pPr>
      <w:bookmarkStart w:id="29" w:name="_Toc1447"/>
      <w:r>
        <w:rPr>
          <w:rFonts w:hint="eastAsia"/>
          <w:color w:val="000000" w:themeColor="text1"/>
          <w14:textFill>
            <w14:solidFill>
              <w14:schemeClr w14:val="tx1"/>
            </w14:solidFill>
          </w14:textFill>
        </w:rPr>
        <w:t>2.调整优化竞技项目布局，保证持续发展动力</w:t>
      </w:r>
      <w:bookmarkEnd w:id="29"/>
      <w:r>
        <w:rPr>
          <w:rFonts w:hint="eastAsia"/>
          <w:color w:val="000000" w:themeColor="text1"/>
          <w14:textFill>
            <w14:solidFill>
              <w14:schemeClr w14:val="tx1"/>
            </w14:solidFill>
          </w14:textFill>
        </w:rPr>
        <w:t>　</w:t>
      </w:r>
    </w:p>
    <w:p>
      <w:pPr>
        <w:pStyle w:val="12"/>
        <w:widowControl/>
        <w:shd w:val="clear" w:color="auto" w:fill="FFFFFF"/>
        <w:spacing w:beforeAutospacing="0" w:afterAutospacing="0" w:line="520" w:lineRule="exact"/>
        <w:ind w:firstLine="560" w:firstLineChars="200"/>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调整、优化滁州市竞技体育项目布局。继续保持我市在体操、女排、手球等优势项目的竞争力，加大对橄榄球、男、女篮、男排、举重等项目的投入。进一步调整全市竞技体育项目设置和布局，做到“市有重点，县有特点，全市一盘棋”。大力支持足球项目发展，加强顶层设计，创新足球发展模式，以青少年足球为基础，加强足球传统学校建设，支持社会力量参与青少年足球运动发展。创办1-2项全市各年龄段参与的品牌足球赛事。</w:t>
      </w:r>
    </w:p>
    <w:p>
      <w:pPr>
        <w:pStyle w:val="5"/>
        <w:spacing w:line="520" w:lineRule="exact"/>
        <w:rPr>
          <w:color w:val="000000" w:themeColor="text1"/>
          <w14:textFill>
            <w14:solidFill>
              <w14:schemeClr w14:val="tx1"/>
            </w14:solidFill>
          </w14:textFill>
        </w:rPr>
      </w:pPr>
      <w:bookmarkStart w:id="30" w:name="_Toc7829"/>
      <w:r>
        <w:rPr>
          <w:rFonts w:hint="eastAsia"/>
          <w:color w:val="000000" w:themeColor="text1"/>
          <w14:textFill>
            <w14:solidFill>
              <w14:schemeClr w14:val="tx1"/>
            </w14:solidFill>
          </w14:textFill>
        </w:rPr>
        <w:t>3.加强运动员思想政治和文化教育工作，落实立德树人根本任务</w:t>
      </w:r>
      <w:bookmarkEnd w:id="30"/>
      <w:r>
        <w:rPr>
          <w:rFonts w:hint="eastAsia"/>
          <w:color w:val="000000" w:themeColor="text1"/>
          <w14:textFill>
            <w14:solidFill>
              <w14:schemeClr w14:val="tx1"/>
            </w14:solidFill>
          </w14:textFill>
        </w:rPr>
        <w:t>　　</w:t>
      </w:r>
    </w:p>
    <w:p>
      <w:pPr>
        <w:spacing w:line="520" w:lineRule="exact"/>
        <w:ind w:firstLine="560" w:firstLineChars="200"/>
        <w:jc w:val="lef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shd w:val="clear" w:color="auto" w:fill="FFFFFF"/>
          <w:lang w:bidi="ar"/>
          <w14:textFill>
            <w14:solidFill>
              <w14:schemeClr w14:val="tx1"/>
            </w14:solidFill>
          </w14:textFill>
        </w:rPr>
        <w:t>充分发挥各级体育行政部门党组（党委）领导核心作用、基层党组织战斗堡垒作用、共产党员先锋模范作用。加强和改进群团组织和社会组织党的建设工作，实现党建全覆盖。强化意识形态工作，加强运动队党建和运动员、教练员思想政治工作，做到在政治方向、舆论导向、价值取向上立场坚定、旗帜鲜明。探索建立体教融合、学训一体、线上线下互为补充的运动员文化教育新模式，建立促进运动员文化学习激励机制，提高运动员文化学习质量。牢记为党育人，为国育才使命，进一步加强运动员思想品德教育，切实落实立德树人根本任务。着眼于运动员的长远利益和全面发展，加强运动文化教育，多途径、全方位提升运动员综合素质。加强运动员文化教育的管理，严格执行运动员文化教育相关制度，切实保障运动员文化课学习的时间。加强运动员文化课教学的改革和创新，不断提高教育教学质量。改进运动员评价制度，把运动员文化学习成绩与运动员评优和教练员、文化课教师的绩效评价、晋职晋升等挂钩。进一步加强文化课教师队伍建设，不断提高文化课教师的教育教学能力与水平。推动体校与市优质中小学共建、联办，整合优势资源，提高</w:t>
      </w:r>
      <w:r>
        <w:rPr>
          <w:rFonts w:hint="eastAsia" w:ascii="宋体" w:hAnsi="宋体" w:eastAsia="宋体" w:cs="宋体"/>
          <w:color w:val="000000" w:themeColor="text1"/>
          <w:sz w:val="28"/>
          <w:szCs w:val="28"/>
          <w14:textFill>
            <w14:solidFill>
              <w14:schemeClr w14:val="tx1"/>
            </w14:solidFill>
          </w14:textFill>
        </w:rPr>
        <w:t>体校办学质量。　　</w:t>
      </w:r>
    </w:p>
    <w:p>
      <w:pPr>
        <w:pStyle w:val="5"/>
        <w:spacing w:line="520" w:lineRule="exact"/>
        <w:rPr>
          <w:color w:val="000000" w:themeColor="text1"/>
          <w14:textFill>
            <w14:solidFill>
              <w14:schemeClr w14:val="tx1"/>
            </w14:solidFill>
          </w14:textFill>
        </w:rPr>
      </w:pPr>
      <w:bookmarkStart w:id="31" w:name="_Toc16266"/>
      <w:r>
        <w:rPr>
          <w:rFonts w:hint="eastAsia"/>
          <w:color w:val="000000" w:themeColor="text1"/>
          <w14:textFill>
            <w14:solidFill>
              <w14:schemeClr w14:val="tx1"/>
            </w14:solidFill>
          </w14:textFill>
        </w:rPr>
        <w:t>4.创新训练手段和方法，提高训练科学水平与效益</w:t>
      </w:r>
      <w:bookmarkEnd w:id="31"/>
      <w:r>
        <w:rPr>
          <w:rFonts w:hint="eastAsia"/>
          <w:color w:val="000000" w:themeColor="text1"/>
          <w14:textFill>
            <w14:solidFill>
              <w14:schemeClr w14:val="tx1"/>
            </w14:solidFill>
          </w14:textFill>
        </w:rPr>
        <w:t>　　</w:t>
      </w:r>
    </w:p>
    <w:p>
      <w:pPr>
        <w:spacing w:line="520" w:lineRule="exact"/>
        <w:ind w:firstLine="560" w:firstLineChars="200"/>
        <w:jc w:val="lef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提高现代科学训练模式与方法的应用范围和水平，加强科技创新与医疗保障，不断提升科学训练水平。建设完善“科、训、医、教”一体化的训练基地模式，新建1-2个高水平训练基地，申报1个国家级单项训练基地。加大对体育科学研究的投入和支持，充分利用科研院所、高校及知名训练团队的力量，重点推进与高教科创城所在单位的合作，打造金牌教练团队，建设由“科研、专项、体能、康复、信息、营养专家”构成的复合型训练管理团队。建立和完善科研服务团队管理制度，规范科研团队招募与服务流程，提升运动队保障水平。加强运动队党建工作，充分发挥党组织和党员在训练和竞赛中战斗堡垒和先锋模范作用。　　</w:t>
      </w:r>
    </w:p>
    <w:p>
      <w:pPr>
        <w:pStyle w:val="5"/>
        <w:spacing w:line="520" w:lineRule="exact"/>
        <w:rPr>
          <w:color w:val="000000" w:themeColor="text1"/>
          <w14:textFill>
            <w14:solidFill>
              <w14:schemeClr w14:val="tx1"/>
            </w14:solidFill>
          </w14:textFill>
        </w:rPr>
      </w:pPr>
      <w:bookmarkStart w:id="32" w:name="_Toc22555"/>
      <w:r>
        <w:rPr>
          <w:rFonts w:hint="eastAsia"/>
          <w:color w:val="000000" w:themeColor="text1"/>
          <w14:textFill>
            <w14:solidFill>
              <w14:schemeClr w14:val="tx1"/>
            </w14:solidFill>
          </w14:textFill>
        </w:rPr>
        <w:t>5.加快实施竞技体育人才工程，做好重要赛事备战</w:t>
      </w:r>
      <w:bookmarkEnd w:id="32"/>
      <w:r>
        <w:rPr>
          <w:rFonts w:hint="eastAsia"/>
          <w:color w:val="000000" w:themeColor="text1"/>
          <w14:textFill>
            <w14:solidFill>
              <w14:schemeClr w14:val="tx1"/>
            </w14:solidFill>
          </w14:textFill>
        </w:rPr>
        <w:t>　</w:t>
      </w:r>
    </w:p>
    <w:p>
      <w:pPr>
        <w:spacing w:line="520" w:lineRule="exact"/>
        <w:ind w:firstLine="560" w:firstLineChars="200"/>
        <w:jc w:val="lef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制定高精尖竞技人才引进政策，形成高效运转机制，完善奖励与考核机制，形成引领示范效应。继续探索与其他省市开展竞技人才协同培养模式，结合双方优势资源在人才引进、联合组队、运动员、教练员的培养交流等多个领域开展合作。做好重大赛事备战参赛工作，在省十四运金牌数位居全省第五位、总分位居全省第七位的基础上，省十五运金牌数、奖牌总数进入全省第一方阵，实现运动成绩和精神文明双丰收。</w:t>
      </w:r>
    </w:p>
    <w:p>
      <w:pPr>
        <w:spacing w:line="520" w:lineRule="exact"/>
        <w:ind w:firstLine="560" w:firstLineChars="200"/>
        <w:jc w:val="lef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加强后备人才培养，建设好现有的国家级高水平后备人才基地、3-4个省级高水平后备人才培养基地，到2025年，注册青少年运动员数量达到4000人，每年向省级运动队输送80名优秀后备人才。鼓励和支持社会力量参与体育后备人才培养，建立社会力量体育后备人才基地，制定政策和措施激励基层向运动队输送后备人才。建立竞技人才数据库，实现竞技人才信息的科学、精准、动态化管理。完善竞技队伍保障体系，拓宽组织安置、推优上学、双向选择、自主择业、自主创业等多种渠道。</w:t>
      </w:r>
    </w:p>
    <w:p>
      <w:pPr>
        <w:spacing w:line="520" w:lineRule="exact"/>
        <w:ind w:firstLine="560" w:firstLineChars="200"/>
        <w:jc w:val="lef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完善裁判员管理体制，加强高水平裁判员的遴选和培养工作，打造一支高素质的裁判队伍。　　</w:t>
      </w:r>
    </w:p>
    <w:p>
      <w:pPr>
        <w:pStyle w:val="5"/>
        <w:spacing w:line="520" w:lineRule="exact"/>
        <w:rPr>
          <w:color w:val="000000" w:themeColor="text1"/>
          <w14:textFill>
            <w14:solidFill>
              <w14:schemeClr w14:val="tx1"/>
            </w14:solidFill>
          </w14:textFill>
        </w:rPr>
      </w:pPr>
      <w:bookmarkStart w:id="33" w:name="_Toc8201"/>
      <w:r>
        <w:rPr>
          <w:rFonts w:hint="eastAsia"/>
          <w:color w:val="000000" w:themeColor="text1"/>
          <w14:textFill>
            <w14:solidFill>
              <w14:schemeClr w14:val="tx1"/>
            </w14:solidFill>
          </w14:textFill>
        </w:rPr>
        <w:t>6.培育高水平竞技品牌赛事，打造市级体育竞赛体系</w:t>
      </w:r>
      <w:bookmarkEnd w:id="33"/>
      <w:r>
        <w:rPr>
          <w:rFonts w:hint="eastAsia"/>
          <w:color w:val="000000" w:themeColor="text1"/>
          <w14:textFill>
            <w14:solidFill>
              <w14:schemeClr w14:val="tx1"/>
            </w14:solidFill>
          </w14:textFill>
        </w:rPr>
        <w:t>　　</w:t>
      </w:r>
    </w:p>
    <w:p>
      <w:pPr>
        <w:pStyle w:val="12"/>
        <w:widowControl/>
        <w:shd w:val="clear" w:color="auto" w:fill="FFFFFF"/>
        <w:spacing w:beforeAutospacing="0" w:afterAutospacing="0" w:line="520" w:lineRule="exact"/>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继续探索、培育高水平竞技赛事，打造1-2个自主品牌赛事，承办国内外高水平体育赛事，力争“十四五”期间承办1-2项国际专业赛事，承办3-4项全国性专业赛事，举办6-8项省级专业赛事。逐步将工作重心转向以竞赛为导向，以提供服务为核心，促进竞技体育健康发展。探索竞技体育与社会力量（俱乐部、协会、企业）结合的多元发展模式，引导社会力量参与群众关注度高、市场化程度高的自行车、马拉松、手球、足球、篮球等项目的训练与竞赛。吸引省内外优秀企业参与重点优势项目建设，依据平等合作、资源共享、互利互惠的原则建立合作机制。</w:t>
      </w:r>
    </w:p>
    <w:p>
      <w:pPr>
        <w:pStyle w:val="4"/>
        <w:spacing w:line="520" w:lineRule="exact"/>
        <w:rPr>
          <w:color w:val="000000" w:themeColor="text1"/>
          <w14:textFill>
            <w14:solidFill>
              <w14:schemeClr w14:val="tx1"/>
            </w14:solidFill>
          </w14:textFill>
        </w:rPr>
      </w:pPr>
      <w:bookmarkStart w:id="34" w:name="_Toc6920"/>
      <w:bookmarkStart w:id="35" w:name="_Toc18321"/>
      <w:r>
        <w:rPr>
          <w:rFonts w:hint="eastAsia"/>
          <w:color w:val="000000" w:themeColor="text1"/>
          <w14:textFill>
            <w14:solidFill>
              <w14:schemeClr w14:val="tx1"/>
            </w14:solidFill>
          </w14:textFill>
        </w:rPr>
        <w:t>（八）充分利用自身优势，推进体育产业创新发展</w:t>
      </w:r>
      <w:bookmarkEnd w:id="34"/>
      <w:bookmarkEnd w:id="35"/>
    </w:p>
    <w:p>
      <w:pPr>
        <w:pStyle w:val="12"/>
        <w:widowControl/>
        <w:shd w:val="clear" w:color="auto" w:fill="FFFFFF"/>
        <w:spacing w:beforeAutospacing="0" w:afterAutospacing="0" w:line="520" w:lineRule="exact"/>
        <w:rPr>
          <w:rStyle w:val="22"/>
          <w:color w:val="000000" w:themeColor="text1"/>
          <w:szCs w:val="22"/>
          <w14:textFill>
            <w14:solidFill>
              <w14:schemeClr w14:val="tx1"/>
            </w14:solidFill>
          </w14:textFill>
        </w:rPr>
      </w:pPr>
      <w:bookmarkStart w:id="36" w:name="_Toc13170"/>
      <w:bookmarkStart w:id="37" w:name="_Toc30323"/>
      <w:r>
        <w:rPr>
          <w:rStyle w:val="22"/>
          <w:rFonts w:hint="eastAsia"/>
          <w:color w:val="000000" w:themeColor="text1"/>
          <w:szCs w:val="22"/>
          <w:lang w:val="en-US" w:eastAsia="zh-CN"/>
          <w14:textFill>
            <w14:solidFill>
              <w14:schemeClr w14:val="tx1"/>
            </w14:solidFill>
          </w14:textFill>
        </w:rPr>
        <w:t>1</w:t>
      </w:r>
      <w:r>
        <w:rPr>
          <w:rStyle w:val="22"/>
          <w:rFonts w:hint="eastAsia"/>
          <w:color w:val="000000" w:themeColor="text1"/>
          <w:szCs w:val="22"/>
          <w14:textFill>
            <w14:solidFill>
              <w14:schemeClr w14:val="tx1"/>
            </w14:solidFill>
          </w14:textFill>
        </w:rPr>
        <w:t>.激发市场主体活力</w:t>
      </w:r>
    </w:p>
    <w:bookmarkEnd w:id="36"/>
    <w:bookmarkEnd w:id="37"/>
    <w:p>
      <w:pPr>
        <w:pStyle w:val="12"/>
        <w:widowControl/>
        <w:shd w:val="clear" w:color="auto" w:fill="FFFFFF"/>
        <w:spacing w:beforeAutospacing="0" w:afterAutospacing="0" w:line="520" w:lineRule="exact"/>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支持企业联合高等学校、科研机构建立产学研协同创新机制，建设体育产业技术创新战略联盟，着力扶持、培育一批有自主品牌、创新能力和竞争实力的骨干体育企业。引导有实力的体育企业以资本为纽带，实行跨地区、跨行业、跨所有制的兼并、重组、上市。鼓励体育优势企业、优势品牌和优势项目“走出去”。积极支持体育产业的海外并购，鼓励吸引国内外体育企业落户滁州。积极扶持中小微体育企业发展，鼓励成立各类体育产业孵化平台，为体育领域的“大众创业、万众创新”提供环境。充分利用认证认可手段，为体育产业创新发展提供技术支撑。</w:t>
      </w:r>
      <w:r>
        <w:rPr>
          <w:rFonts w:hint="eastAsia" w:ascii="宋体" w:hAnsi="宋体" w:eastAsia="宋体" w:cs="宋体"/>
          <w:color w:val="000000" w:themeColor="text1"/>
          <w:sz w:val="28"/>
          <w:szCs w:val="28"/>
          <w:lang w:val="en-US" w:eastAsia="zh-CN"/>
          <w14:textFill>
            <w14:solidFill>
              <w14:schemeClr w14:val="tx1"/>
            </w14:solidFill>
          </w14:textFill>
        </w:rPr>
        <w:t>积极</w:t>
      </w:r>
      <w:r>
        <w:rPr>
          <w:rFonts w:hint="eastAsia" w:ascii="宋体" w:hAnsi="宋体" w:eastAsia="宋体" w:cs="宋体"/>
          <w:color w:val="000000" w:themeColor="text1"/>
          <w:sz w:val="28"/>
          <w:szCs w:val="28"/>
          <w14:textFill>
            <w14:solidFill>
              <w14:schemeClr w14:val="tx1"/>
            </w14:solidFill>
          </w14:textFill>
        </w:rPr>
        <w:t>培育1-2个全国知名、拥有自主知识产权的体育用品品牌。</w:t>
      </w:r>
    </w:p>
    <w:p>
      <w:pPr>
        <w:pStyle w:val="12"/>
        <w:widowControl/>
        <w:shd w:val="clear" w:color="auto" w:fill="FFFFFF"/>
        <w:spacing w:beforeAutospacing="0" w:afterAutospacing="0" w:line="520" w:lineRule="exact"/>
        <w:rPr>
          <w:rStyle w:val="22"/>
          <w:color w:val="000000" w:themeColor="text1"/>
          <w:szCs w:val="22"/>
          <w14:textFill>
            <w14:solidFill>
              <w14:schemeClr w14:val="tx1"/>
            </w14:solidFill>
          </w14:textFill>
        </w:rPr>
      </w:pPr>
      <w:bookmarkStart w:id="38" w:name="_Toc7600"/>
      <w:bookmarkStart w:id="39" w:name="_Toc20240"/>
      <w:r>
        <w:rPr>
          <w:rStyle w:val="22"/>
          <w:rFonts w:hint="eastAsia"/>
          <w:color w:val="000000" w:themeColor="text1"/>
          <w:szCs w:val="22"/>
          <w:lang w:val="en-US" w:eastAsia="zh-CN"/>
          <w14:textFill>
            <w14:solidFill>
              <w14:schemeClr w14:val="tx1"/>
            </w14:solidFill>
          </w14:textFill>
        </w:rPr>
        <w:t>2</w:t>
      </w:r>
      <w:r>
        <w:rPr>
          <w:rStyle w:val="22"/>
          <w:rFonts w:hint="eastAsia"/>
          <w:color w:val="000000" w:themeColor="text1"/>
          <w:szCs w:val="22"/>
          <w14:textFill>
            <w14:solidFill>
              <w14:schemeClr w14:val="tx1"/>
            </w14:solidFill>
          </w14:textFill>
        </w:rPr>
        <w:t>.丰富体育赛事活动</w:t>
      </w:r>
    </w:p>
    <w:bookmarkEnd w:id="38"/>
    <w:bookmarkEnd w:id="39"/>
    <w:p>
      <w:pPr>
        <w:pStyle w:val="12"/>
        <w:widowControl/>
        <w:shd w:val="clear" w:color="auto" w:fill="FFFFFF"/>
        <w:spacing w:beforeAutospacing="0" w:afterAutospacing="0" w:line="52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加强与国际、国内体育组织和各类体育协会的合作，积极引进和申办高等级重大体育赛事。鼓励各地区打造与产业优势、文化特色、发展定位相结合的，具有自主知识产权的品牌赛事，形成高端竞技赛事、大众参与赛事、经典商业赛事多层次品牌赛事体系。引进高端休闲竞技体育“铁人三项”，将滁州打造成为国际知名休闲运动城市，继续着重打造“东方手球之都”，着力培育全国东西南北中羽毛球比赛滁州站、安徽省青少年足球锦标赛等具有影响力的赛事，“十四五”期间，在全市重点打造5-6个品牌赛事，使重大赛事成为宣传滁州市的重要名片。丰富群众身边赛事活动，倡导举办各类运动项目的校际联赛、俱乐部联赛、青少年赛事，全面构建业余联赛体系。吸引社会资本共同发展竞赛表演业，实现办赛主体多元化、运营资本化。</w:t>
      </w:r>
    </w:p>
    <w:p>
      <w:pPr>
        <w:pStyle w:val="12"/>
        <w:widowControl/>
        <w:shd w:val="clear" w:color="auto" w:fill="FFFFFF"/>
        <w:spacing w:beforeAutospacing="0" w:afterAutospacing="0" w:line="520" w:lineRule="exact"/>
        <w:rPr>
          <w:rStyle w:val="22"/>
          <w:color w:val="000000" w:themeColor="text1"/>
          <w:szCs w:val="22"/>
          <w14:textFill>
            <w14:solidFill>
              <w14:schemeClr w14:val="tx1"/>
            </w14:solidFill>
          </w14:textFill>
        </w:rPr>
      </w:pPr>
      <w:bookmarkStart w:id="40" w:name="_Toc3669"/>
      <w:bookmarkStart w:id="41" w:name="_Toc21601"/>
      <w:r>
        <w:rPr>
          <w:rStyle w:val="22"/>
          <w:rFonts w:hint="eastAsia"/>
          <w:color w:val="000000" w:themeColor="text1"/>
          <w:szCs w:val="22"/>
          <w:lang w:val="en-US" w:eastAsia="zh-CN"/>
          <w14:textFill>
            <w14:solidFill>
              <w14:schemeClr w14:val="tx1"/>
            </w14:solidFill>
          </w14:textFill>
        </w:rPr>
        <w:t>3.</w:t>
      </w:r>
      <w:r>
        <w:rPr>
          <w:rStyle w:val="22"/>
          <w:rFonts w:hint="eastAsia"/>
          <w:color w:val="000000" w:themeColor="text1"/>
          <w:szCs w:val="22"/>
          <w14:textFill>
            <w14:solidFill>
              <w14:schemeClr w14:val="tx1"/>
            </w14:solidFill>
          </w14:textFill>
        </w:rPr>
        <w:t>开发健身休闲服务产业</w:t>
      </w:r>
    </w:p>
    <w:bookmarkEnd w:id="40"/>
    <w:bookmarkEnd w:id="41"/>
    <w:p>
      <w:pPr>
        <w:pStyle w:val="12"/>
        <w:widowControl/>
        <w:shd w:val="clear" w:color="auto" w:fill="FFFFFF"/>
        <w:spacing w:beforeAutospacing="0" w:afterAutospacing="0" w:line="520" w:lineRule="exact"/>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推动体育产业基地、体育服务综合体、运动休闲特色小镇、汽车自驾营地等重大项目规划建设。实施健身服务精品工程，打造一批优秀健身休闲俱乐部、场所和品牌活动；结合体育产业基地建设，力争培育1家省级体育产业示范基地；培育1-2家以健身休闲服务为核心的市级体育旅游示范基地；全力打造1-2个体育特色小镇。加快体育制造业向服务业延伸，</w:t>
      </w:r>
      <w:r>
        <w:rPr>
          <w:rFonts w:hint="eastAsia" w:ascii="宋体" w:hAnsi="宋体" w:eastAsia="宋体" w:cs="宋体"/>
          <w:color w:val="000000" w:themeColor="text1"/>
          <w:sz w:val="28"/>
          <w:szCs w:val="28"/>
          <w:lang w:val="en-US" w:eastAsia="zh-CN"/>
          <w14:textFill>
            <w14:solidFill>
              <w14:schemeClr w14:val="tx1"/>
            </w14:solidFill>
          </w14:textFill>
        </w:rPr>
        <w:t>积极</w:t>
      </w:r>
      <w:r>
        <w:rPr>
          <w:rFonts w:hint="eastAsia" w:ascii="宋体" w:hAnsi="宋体" w:eastAsia="宋体" w:cs="宋体"/>
          <w:color w:val="000000" w:themeColor="text1"/>
          <w:sz w:val="28"/>
          <w:szCs w:val="28"/>
          <w14:textFill>
            <w14:solidFill>
              <w14:schemeClr w14:val="tx1"/>
            </w14:solidFill>
          </w14:textFill>
        </w:rPr>
        <w:t>打造“智能健身器材+运动健康服务”“体育器材制造+场馆数字管理”等定制化应用场景的“产品+服务”模式。实施“体育+”工程，重点推进体教融合、体医养融合和体旅融合。</w:t>
      </w:r>
    </w:p>
    <w:p>
      <w:pPr>
        <w:pStyle w:val="12"/>
        <w:widowControl/>
        <w:shd w:val="clear" w:color="auto" w:fill="FFFFFF"/>
        <w:spacing w:beforeAutospacing="0" w:afterAutospacing="0" w:line="520" w:lineRule="exact"/>
        <w:rPr>
          <w:rStyle w:val="22"/>
          <w:color w:val="000000" w:themeColor="text1"/>
          <w:szCs w:val="22"/>
          <w14:textFill>
            <w14:solidFill>
              <w14:schemeClr w14:val="tx1"/>
            </w14:solidFill>
          </w14:textFill>
        </w:rPr>
      </w:pPr>
      <w:bookmarkStart w:id="42" w:name="_Toc5817"/>
      <w:bookmarkStart w:id="43" w:name="_Toc6696"/>
      <w:r>
        <w:rPr>
          <w:rStyle w:val="22"/>
          <w:rFonts w:hint="eastAsia"/>
          <w:color w:val="000000" w:themeColor="text1"/>
          <w:szCs w:val="22"/>
          <w:lang w:val="en-US" w:eastAsia="zh-CN"/>
          <w14:textFill>
            <w14:solidFill>
              <w14:schemeClr w14:val="tx1"/>
            </w14:solidFill>
          </w14:textFill>
        </w:rPr>
        <w:t>4</w:t>
      </w:r>
      <w:r>
        <w:rPr>
          <w:rStyle w:val="22"/>
          <w:rFonts w:hint="eastAsia"/>
          <w:color w:val="000000" w:themeColor="text1"/>
          <w:szCs w:val="22"/>
          <w14:textFill>
            <w14:solidFill>
              <w14:schemeClr w14:val="tx1"/>
            </w14:solidFill>
          </w14:textFill>
        </w:rPr>
        <w:t>.实施健身消费促进计划</w:t>
      </w:r>
    </w:p>
    <w:bookmarkEnd w:id="42"/>
    <w:bookmarkEnd w:id="43"/>
    <w:p>
      <w:pPr>
        <w:pStyle w:val="12"/>
        <w:widowControl/>
        <w:shd w:val="clear" w:color="auto" w:fill="FFFFFF"/>
        <w:spacing w:beforeAutospacing="0" w:afterAutospacing="0" w:line="520" w:lineRule="exact"/>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通过各类赛事活动拉动节假日消费和夜间经济，积极培育定制、体验、智能、时尚消费等新模式新态,促进健身服务消费提质扩容。通过政府购买服务、消费补贴等途径，支持群众健身消费，鼓励公共体育设施免费或低收费开放，引导社会力量提供公益性群众健身服务。鼓励健身休闲企业与金融机构合作，试点发行健身休闲联名银行卡，实施特惠商户折扣。支持各地创新健身休闲消费引导机制，继续做好对特定人群发放健身消费券试点工作，在市本级试点成功经验的基础上，全面推广到各县（市、区）促进互联网金融与体育产业融合发展，推动各类电子商务平台为体育消费提供服务。引导保险公司开发场地责任险、运动人身意外伤害险等保险产品。</w:t>
      </w:r>
    </w:p>
    <w:p>
      <w:pPr>
        <w:pStyle w:val="12"/>
        <w:widowControl/>
        <w:shd w:val="clear" w:color="auto" w:fill="FFFFFF"/>
        <w:spacing w:beforeAutospacing="0" w:afterAutospacing="0" w:line="520" w:lineRule="exact"/>
        <w:rPr>
          <w:rStyle w:val="22"/>
          <w:color w:val="000000" w:themeColor="text1"/>
          <w:szCs w:val="22"/>
          <w14:textFill>
            <w14:solidFill>
              <w14:schemeClr w14:val="tx1"/>
            </w14:solidFill>
          </w14:textFill>
        </w:rPr>
      </w:pPr>
      <w:bookmarkStart w:id="44" w:name="_Toc30023"/>
      <w:bookmarkStart w:id="45" w:name="_Toc32273"/>
      <w:r>
        <w:rPr>
          <w:rStyle w:val="22"/>
          <w:rFonts w:hint="eastAsia"/>
          <w:color w:val="000000" w:themeColor="text1"/>
          <w:szCs w:val="22"/>
          <w:lang w:val="en-US" w:eastAsia="zh-CN"/>
          <w14:textFill>
            <w14:solidFill>
              <w14:schemeClr w14:val="tx1"/>
            </w14:solidFill>
          </w14:textFill>
        </w:rPr>
        <w:t>5</w:t>
      </w:r>
      <w:r>
        <w:rPr>
          <w:rStyle w:val="22"/>
          <w:rFonts w:hint="eastAsia"/>
          <w:color w:val="000000" w:themeColor="text1"/>
          <w:szCs w:val="22"/>
          <w14:textFill>
            <w14:solidFill>
              <w14:schemeClr w14:val="tx1"/>
            </w14:solidFill>
          </w14:textFill>
        </w:rPr>
        <w:t>.建立健全服务保障体系</w:t>
      </w:r>
    </w:p>
    <w:bookmarkEnd w:id="44"/>
    <w:bookmarkEnd w:id="45"/>
    <w:p>
      <w:pPr>
        <w:pStyle w:val="12"/>
        <w:widowControl/>
        <w:shd w:val="clear" w:color="auto" w:fill="FFFFFF"/>
        <w:spacing w:beforeAutospacing="0" w:afterAutospacing="0" w:line="520" w:lineRule="exact"/>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加强对体育市场的事中事后监管，通过第三方评价等方式，开展资金使用绩效评估，提升资金使用效率。落实国家标准化战略，加强体育标准化工作，规范体育标准化活动。完善体育产业统计体系，提升体育产业统计科学化、规范化水平。加强对政策执行情况的评估督查，落实体育相关税费价格优惠政策。细化监管举措，完善公共体育设施、体育赛事活动、体育培训、体育中介服务等体育市场重点领域的监管制度体系，健全信用约束和失信联合惩戒机制。强化高危险性体育项目经营监管，切实保障消费者人身安全。鼓励普通高校、职业院校设置体育产业相关专业，形成有效支撑体育产业发展的高层次人才培养体系。</w:t>
      </w:r>
    </w:p>
    <w:p>
      <w:pPr>
        <w:pStyle w:val="12"/>
        <w:widowControl/>
        <w:shd w:val="clear" w:color="auto" w:fill="FFFFFF"/>
        <w:spacing w:beforeAutospacing="0" w:afterAutospacing="0" w:line="520" w:lineRule="exact"/>
        <w:rPr>
          <w:rStyle w:val="22"/>
          <w:color w:val="000000" w:themeColor="text1"/>
          <w:szCs w:val="22"/>
          <w14:textFill>
            <w14:solidFill>
              <w14:schemeClr w14:val="tx1"/>
            </w14:solidFill>
          </w14:textFill>
        </w:rPr>
      </w:pPr>
      <w:bookmarkStart w:id="46" w:name="_Toc7772"/>
      <w:bookmarkStart w:id="47" w:name="_Toc20296"/>
      <w:r>
        <w:rPr>
          <w:rStyle w:val="22"/>
          <w:rFonts w:hint="eastAsia"/>
          <w:color w:val="000000" w:themeColor="text1"/>
          <w:szCs w:val="22"/>
          <w:lang w:val="en-US" w:eastAsia="zh-CN"/>
          <w14:textFill>
            <w14:solidFill>
              <w14:schemeClr w14:val="tx1"/>
            </w14:solidFill>
          </w14:textFill>
        </w:rPr>
        <w:t>6</w:t>
      </w:r>
      <w:r>
        <w:rPr>
          <w:rStyle w:val="22"/>
          <w:rFonts w:hint="eastAsia"/>
          <w:color w:val="000000" w:themeColor="text1"/>
          <w:szCs w:val="22"/>
          <w14:textFill>
            <w14:solidFill>
              <w14:schemeClr w14:val="tx1"/>
            </w14:solidFill>
          </w14:textFill>
        </w:rPr>
        <w:t>.推动体育彩票健康发展</w:t>
      </w:r>
    </w:p>
    <w:bookmarkEnd w:id="46"/>
    <w:bookmarkEnd w:id="47"/>
    <w:p>
      <w:pPr>
        <w:pStyle w:val="12"/>
        <w:widowControl/>
        <w:shd w:val="clear" w:color="auto" w:fill="FFFFFF"/>
        <w:spacing w:beforeAutospacing="0" w:afterAutospacing="0" w:line="520" w:lineRule="exact"/>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坚持“建设负责任、可信赖、健康持续发展的国家公益彩票”的长期定位，狠抓风险防控，深化责任彩票建设，推动结构性增长，提升治理体系与治理能力水平，实现体育彩票高质量发展。强力推动责任彩票在体育彩票业务全流程的贯穿融入，打造良好行业生态；持续塑造责任为先、公益公信为核心的品牌形象，积极传播体彩正向价值观；拓展优化销售渠道，匹配不同产品结构和差异化营销策略，实现客户体验显著提升及客群结构改善；强化夯实战略管理、风险防控、技术保障、运营管理及人才队伍等支撑体系建设，加快转型发展和创新驱动，加强体育彩票公益金使用的管理和宣传，助力体育发展。</w:t>
      </w:r>
    </w:p>
    <w:p>
      <w:pPr>
        <w:pStyle w:val="4"/>
        <w:spacing w:line="520" w:lineRule="exact"/>
        <w:rPr>
          <w:color w:val="000000" w:themeColor="text1"/>
          <w14:textFill>
            <w14:solidFill>
              <w14:schemeClr w14:val="tx1"/>
            </w14:solidFill>
          </w14:textFill>
        </w:rPr>
      </w:pPr>
      <w:bookmarkStart w:id="48" w:name="_Toc20157"/>
      <w:r>
        <w:rPr>
          <w:rFonts w:hint="eastAsia"/>
          <w:color w:val="000000" w:themeColor="text1"/>
          <w14:textFill>
            <w14:solidFill>
              <w14:schemeClr w14:val="tx1"/>
            </w14:solidFill>
          </w14:textFill>
        </w:rPr>
        <w:t>（九）营造体育文化氛围，促进体育文化发展</w:t>
      </w:r>
      <w:bookmarkEnd w:id="48"/>
    </w:p>
    <w:p>
      <w:pPr>
        <w:pStyle w:val="12"/>
        <w:widowControl/>
        <w:shd w:val="clear" w:color="auto" w:fill="FFFFFF"/>
        <w:spacing w:beforeAutospacing="0" w:afterAutospacing="0" w:line="520" w:lineRule="exact"/>
        <w:rPr>
          <w:rStyle w:val="22"/>
          <w:color w:val="000000" w:themeColor="text1"/>
          <w:szCs w:val="22"/>
          <w14:textFill>
            <w14:solidFill>
              <w14:schemeClr w14:val="tx1"/>
            </w14:solidFill>
          </w14:textFill>
        </w:rPr>
      </w:pPr>
      <w:bookmarkStart w:id="49" w:name="_Toc31040"/>
      <w:r>
        <w:rPr>
          <w:rStyle w:val="22"/>
          <w:rFonts w:hint="eastAsia"/>
          <w:color w:val="000000" w:themeColor="text1"/>
          <w:szCs w:val="22"/>
          <w14:textFill>
            <w14:solidFill>
              <w14:schemeClr w14:val="tx1"/>
            </w14:solidFill>
          </w14:textFill>
        </w:rPr>
        <w:t>1.加强阵地建设，传承传统文化</w:t>
      </w:r>
    </w:p>
    <w:bookmarkEnd w:id="49"/>
    <w:p>
      <w:pPr>
        <w:pStyle w:val="12"/>
        <w:widowControl/>
        <w:shd w:val="clear" w:color="auto" w:fill="FFFFFF"/>
        <w:spacing w:beforeAutospacing="0" w:afterAutospacing="0" w:line="520" w:lineRule="exact"/>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加强优秀民间体育、民俗体育的保护、推广和创新，推进传统体育项目文化的挖掘和整理。开展体育文物、档案、文献等调查、收集、整理、保存和研究工作。开展传统体育类非物质文化遗产展示展演活动，推动传统体育类非物质文化遗产进校园。推进滁州市体育博物馆陈列室建设，积极成立滁州市体育文化协会。实施体育场馆文化基础设施提升工程，力争市级体育部门所属各基层单位全部建有一个独立资料室。加强体育宣传，充分运用新媒体优势，展现滁州体育风采，扩大滁州体育知名度、美誉度和影响力。</w:t>
      </w:r>
    </w:p>
    <w:p>
      <w:pPr>
        <w:pStyle w:val="12"/>
        <w:widowControl/>
        <w:shd w:val="clear" w:color="auto" w:fill="FFFFFF"/>
        <w:spacing w:beforeAutospacing="0" w:afterAutospacing="0" w:line="520" w:lineRule="exact"/>
        <w:rPr>
          <w:rStyle w:val="22"/>
          <w:color w:val="000000" w:themeColor="text1"/>
          <w:szCs w:val="22"/>
          <w14:textFill>
            <w14:solidFill>
              <w14:schemeClr w14:val="tx1"/>
            </w14:solidFill>
          </w14:textFill>
        </w:rPr>
      </w:pPr>
      <w:bookmarkStart w:id="50" w:name="_Toc14471"/>
      <w:r>
        <w:rPr>
          <w:rStyle w:val="22"/>
          <w:rFonts w:hint="eastAsia"/>
          <w:color w:val="000000" w:themeColor="text1"/>
          <w:szCs w:val="22"/>
          <w14:textFill>
            <w14:solidFill>
              <w14:schemeClr w14:val="tx1"/>
            </w14:solidFill>
          </w14:textFill>
        </w:rPr>
        <w:t>2.坚定体育自信，弘扬体育精神</w:t>
      </w:r>
    </w:p>
    <w:bookmarkEnd w:id="50"/>
    <w:p>
      <w:pPr>
        <w:pStyle w:val="12"/>
        <w:widowControl/>
        <w:shd w:val="clear" w:color="auto" w:fill="FFFFFF"/>
        <w:spacing w:beforeAutospacing="0" w:afterAutospacing="0" w:line="520" w:lineRule="exact"/>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深入挖掘中华体育精神和滁州体育精神，将体育文化融入滁州文化，精心培育和发展体育公益、慈善和志愿服务文化，建立全民健身志愿服务长效机制。以开展滁州奥运冠军、世界冠军、亚运冠军、全国冠军进社区、进学校、进企业宣传和志愿服务活动为载体，弘扬“更快、更高、更强、更团结”的奥林匹克精神，提升2022年省运会的体育文化内涵，全面展示体育多功能的社会价值。高度重视体育后备人才的培育，注重培育德才兼备的高素质体育后备人才。提高教练员、文化课老师、管理人员自身素质，规范好言行举止。倡导文明观赛、文明健身等体育文明礼仪，促进社会主义思想道德建设和精神文明创建。</w:t>
      </w:r>
    </w:p>
    <w:p>
      <w:pPr>
        <w:pStyle w:val="12"/>
        <w:widowControl/>
        <w:shd w:val="clear" w:color="auto" w:fill="FFFFFF"/>
        <w:spacing w:beforeAutospacing="0" w:afterAutospacing="0" w:line="520" w:lineRule="exact"/>
        <w:rPr>
          <w:rStyle w:val="22"/>
          <w:color w:val="000000" w:themeColor="text1"/>
          <w:szCs w:val="22"/>
          <w14:textFill>
            <w14:solidFill>
              <w14:schemeClr w14:val="tx1"/>
            </w14:solidFill>
          </w14:textFill>
        </w:rPr>
      </w:pPr>
      <w:bookmarkStart w:id="51" w:name="_Toc20974"/>
      <w:r>
        <w:rPr>
          <w:rStyle w:val="22"/>
          <w:rFonts w:hint="eastAsia"/>
          <w:color w:val="000000" w:themeColor="text1"/>
          <w:szCs w:val="22"/>
          <w14:textFill>
            <w14:solidFill>
              <w14:schemeClr w14:val="tx1"/>
            </w14:solidFill>
          </w14:textFill>
        </w:rPr>
        <w:t xml:space="preserve">3.讲好体育故事，推动文化建设 </w:t>
      </w:r>
    </w:p>
    <w:bookmarkEnd w:id="51"/>
    <w:p>
      <w:pPr>
        <w:pStyle w:val="12"/>
        <w:widowControl/>
        <w:shd w:val="clear" w:color="auto" w:fill="FFFFFF"/>
        <w:spacing w:beforeAutospacing="0" w:afterAutospacing="0" w:line="520" w:lineRule="exact"/>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挖掘体育运动项目特色、组织文化和团队精神，讲好以运动员为主体的运动项目文化故事。以各类赛事为载体，融合省运会主题，举办以运动项目为主要内容的文化活动、文化展示。继续擦亮手球“金名片”，加强“滁州手球”文化建设，弘扬手球运动项目文化，力争在全市范围内实现义务教育阶段手球课程全覆盖，重点打造一批“滁州手球”示范基地，营造全社会共建“滁州手球”的良好氛围。培育具有优秀品德和良好运动成绩的体育明星，组织运动队和体育明星开展体育精神和爱国主义教育活动。</w:t>
      </w:r>
    </w:p>
    <w:p>
      <w:pPr>
        <w:pStyle w:val="12"/>
        <w:widowControl/>
        <w:shd w:val="clear" w:color="auto" w:fill="FFFFFF"/>
        <w:spacing w:beforeAutospacing="0" w:afterAutospacing="0" w:line="520" w:lineRule="exact"/>
        <w:rPr>
          <w:rStyle w:val="22"/>
          <w:color w:val="000000" w:themeColor="text1"/>
          <w:szCs w:val="22"/>
          <w14:textFill>
            <w14:solidFill>
              <w14:schemeClr w14:val="tx1"/>
            </w14:solidFill>
          </w14:textFill>
        </w:rPr>
      </w:pPr>
      <w:bookmarkStart w:id="52" w:name="_Toc1269"/>
      <w:r>
        <w:rPr>
          <w:rStyle w:val="22"/>
          <w:rFonts w:hint="eastAsia"/>
          <w:color w:val="000000" w:themeColor="text1"/>
          <w:szCs w:val="22"/>
          <w14:textFill>
            <w14:solidFill>
              <w14:schemeClr w14:val="tx1"/>
            </w14:solidFill>
          </w14:textFill>
        </w:rPr>
        <w:t>4.丰富体育产品 ，构建合作新局</w:t>
      </w:r>
    </w:p>
    <w:bookmarkEnd w:id="52"/>
    <w:p>
      <w:pPr>
        <w:pStyle w:val="12"/>
        <w:widowControl/>
        <w:shd w:val="clear" w:color="auto" w:fill="FFFFFF"/>
        <w:spacing w:beforeAutospacing="0" w:afterAutospacing="0" w:line="520" w:lineRule="exact"/>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实施以2022年省运会为主题的体育文化创作工程，结合省运会各运动项目，创作具有时代特征、体育内涵、中国特色、亭城韵味的体育文化产品。积极推动开展体育影视、体育音乐、体育摄影、体育美术、体育动漫、体育收藏品等展示和评选活动。加强体育交流和合作，加强与国内外体育组织协会的交流合作，扩大滁州城市国内影响力。加强与港澳台地区的体育交流合作，积极搭建各类体育交流平台，开展丰富多样的民间体育交流，推动全民健身、体育赛事、体育旅游等领域的深度合作。强化长三角地区城市、合肥都市圈城市、南京都市圈城市体育协同发展，建立交流与合作机制，营造“全民健身，共享省运”的良好氛围。</w:t>
      </w:r>
    </w:p>
    <w:p>
      <w:pPr>
        <w:pStyle w:val="4"/>
        <w:spacing w:line="520" w:lineRule="exact"/>
        <w:rPr>
          <w:color w:val="000000" w:themeColor="text1"/>
          <w14:textFill>
            <w14:solidFill>
              <w14:schemeClr w14:val="tx1"/>
            </w14:solidFill>
          </w14:textFill>
        </w:rPr>
      </w:pPr>
      <w:bookmarkStart w:id="53" w:name="_Toc8032"/>
      <w:r>
        <w:rPr>
          <w:rFonts w:hint="eastAsia"/>
          <w:color w:val="000000" w:themeColor="text1"/>
          <w14:textFill>
            <w14:solidFill>
              <w14:schemeClr w14:val="tx1"/>
            </w14:solidFill>
          </w14:textFill>
        </w:rPr>
        <w:t>（十）实施青少年体育筑基强体行动，提高体质健康水平</w:t>
      </w:r>
      <w:bookmarkEnd w:id="53"/>
    </w:p>
    <w:p>
      <w:pPr>
        <w:pStyle w:val="5"/>
        <w:spacing w:line="520" w:lineRule="exact"/>
        <w:rPr>
          <w:color w:val="000000" w:themeColor="text1"/>
          <w14:textFill>
            <w14:solidFill>
              <w14:schemeClr w14:val="tx1"/>
            </w14:solidFill>
          </w14:textFill>
        </w:rPr>
      </w:pPr>
      <w:bookmarkStart w:id="54" w:name="_Toc25100"/>
      <w:r>
        <w:rPr>
          <w:rFonts w:hint="eastAsia"/>
          <w:color w:val="000000" w:themeColor="text1"/>
          <w14:textFill>
            <w14:solidFill>
              <w14:schemeClr w14:val="tx1"/>
            </w14:solidFill>
          </w14:textFill>
        </w:rPr>
        <w:t>1.全面提升体育与健康课程人才培养质量</w:t>
      </w:r>
      <w:bookmarkEnd w:id="54"/>
    </w:p>
    <w:p>
      <w:pPr>
        <w:pStyle w:val="12"/>
        <w:widowControl/>
        <w:shd w:val="clear" w:color="auto" w:fill="FFFFFF"/>
        <w:spacing w:beforeAutospacing="0" w:afterAutospacing="0" w:line="520" w:lineRule="exact"/>
        <w:ind w:firstLine="560" w:firstLineChars="200"/>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pPr>
      <w:r>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t>树立“健康第一”的教育理念，面向全体学生，配齐配足体育老师，开齐开足上好体育课，确保体育课时间不被挤占。严格落实小学一二年级每周4课时，三至六年级和初中每周3课时，高中阶段每周2课时。推动体育社团活动、课外活动课程化管理，鼓励基础教育阶段学校每天开设1节体育课。创新教学方法和教学组织形式，学前教育阶段开展适合幼儿身心特点的游戏活动，培养体育兴趣爱好，促进运动机能协调发展；指导学生在基础教育阶段掌握1-2项运动技能。</w:t>
      </w:r>
    </w:p>
    <w:p>
      <w:pPr>
        <w:pStyle w:val="5"/>
        <w:spacing w:line="520" w:lineRule="exact"/>
        <w:rPr>
          <w:color w:val="000000" w:themeColor="text1"/>
          <w14:textFill>
            <w14:solidFill>
              <w14:schemeClr w14:val="tx1"/>
            </w14:solidFill>
          </w14:textFill>
        </w:rPr>
      </w:pPr>
      <w:bookmarkStart w:id="55" w:name="_Toc7918"/>
      <w:r>
        <w:rPr>
          <w:rFonts w:hint="eastAsia"/>
          <w:color w:val="000000" w:themeColor="text1"/>
          <w14:textFill>
            <w14:solidFill>
              <w14:schemeClr w14:val="tx1"/>
            </w14:solidFill>
          </w14:textFill>
        </w:rPr>
        <w:t>2.加强体育传统特色学校建设</w:t>
      </w:r>
      <w:bookmarkEnd w:id="55"/>
    </w:p>
    <w:p>
      <w:pPr>
        <w:pStyle w:val="12"/>
        <w:widowControl/>
        <w:shd w:val="clear" w:color="auto" w:fill="FFFFFF"/>
        <w:spacing w:beforeAutospacing="0" w:afterAutospacing="0" w:line="520" w:lineRule="exact"/>
        <w:ind w:firstLine="560" w:firstLineChars="200"/>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完善市级体育传统项目学校认定办法，把校级高水平运动队建设作为认定的重要内容，并实行动态评估，进一步优化体育传统项目学校项目结构，以体育传统项目学校建设促进学校体育活动质量提升，努力实现“把运动队办到学校，让优秀运动员从校园走出”的体教融合目标。推动运动项目在体育传统特色学校的普及，各类集训活动接纳在校学生在课余时间参加，推动社会公共体育场馆免费或低收费向学生开放，促进学校体育水平提高。充分利用冬夏令营活动，以体育传统特色学校为主要对象，实施体育项目技能培训，组织力量提供专业体育训练和指导，提高体育传统特色学校运动水平。</w:t>
      </w:r>
    </w:p>
    <w:p>
      <w:pPr>
        <w:pStyle w:val="5"/>
        <w:spacing w:line="520" w:lineRule="exact"/>
        <w:rPr>
          <w:color w:val="000000" w:themeColor="text1"/>
          <w14:textFill>
            <w14:solidFill>
              <w14:schemeClr w14:val="tx1"/>
            </w14:solidFill>
          </w14:textFill>
        </w:rPr>
      </w:pPr>
      <w:bookmarkStart w:id="56" w:name="_Toc27022"/>
      <w:r>
        <w:rPr>
          <w:rFonts w:hint="eastAsia"/>
          <w:color w:val="000000" w:themeColor="text1"/>
          <w14:textFill>
            <w14:solidFill>
              <w14:schemeClr w14:val="tx1"/>
            </w14:solidFill>
          </w14:textFill>
        </w:rPr>
        <w:t>3.丰富青少年竞赛供给</w:t>
      </w:r>
      <w:bookmarkEnd w:id="56"/>
    </w:p>
    <w:p>
      <w:pPr>
        <w:pStyle w:val="12"/>
        <w:widowControl/>
        <w:shd w:val="clear" w:color="auto" w:fill="FFFFFF"/>
        <w:spacing w:beforeAutospacing="0" w:afterAutospacing="0" w:line="520" w:lineRule="exact"/>
        <w:ind w:firstLine="560" w:firstLineChars="200"/>
        <w:rPr>
          <w:rFonts w:ascii="宋体" w:hAnsi="宋体" w:eastAsia="宋体" w:cs="宋体"/>
          <w:color w:val="FF0000"/>
          <w:sz w:val="28"/>
          <w:szCs w:val="28"/>
          <w:shd w:val="clear" w:color="auto" w:fill="FFFFFF"/>
        </w:rPr>
      </w:pPr>
      <w:r>
        <w:rPr>
          <w:rFonts w:hint="eastAsia" w:ascii="宋体" w:hAnsi="宋体" w:eastAsia="宋体" w:cs="宋体"/>
          <w:color w:val="000000" w:themeColor="text1"/>
          <w:sz w:val="28"/>
          <w:szCs w:val="28"/>
          <w:shd w:val="clear" w:color="auto" w:fill="FFFFFF"/>
          <w14:textFill>
            <w14:solidFill>
              <w14:schemeClr w14:val="tx1"/>
            </w14:solidFill>
          </w14:textFill>
        </w:rPr>
        <w:t>坚持以安徽省运动会、安徽省大（中）学生运动会和滁州市中（小）学生运动会为重点，完善全市学校体育联赛竞赛体系，利用课余时间组织校内比赛、周末组织校际比赛、假期组织跨区域比赛。完善学段间相互衔接的班级、校级、区（市）级、市级四级体育竞赛制度，推动各级赛事体系深度融合，协同发展。鼓励社会力量参与和举办各级各类青少年体育比赛，大力发展体育俱乐部青少年比赛，盘活青少年体育赛事资源，打造青少年身边的赛事。全面加强青少年反兴奋剂教育和监督检查工作力度。</w:t>
      </w:r>
    </w:p>
    <w:p>
      <w:pPr>
        <w:pStyle w:val="5"/>
        <w:spacing w:line="520" w:lineRule="exact"/>
        <w:rPr>
          <w:color w:val="000000" w:themeColor="text1"/>
          <w14:textFill>
            <w14:solidFill>
              <w14:schemeClr w14:val="tx1"/>
            </w14:solidFill>
          </w14:textFill>
        </w:rPr>
      </w:pPr>
      <w:bookmarkStart w:id="57" w:name="_Toc5643"/>
      <w:r>
        <w:rPr>
          <w:rFonts w:hint="eastAsia"/>
          <w:color w:val="000000" w:themeColor="text1"/>
          <w14:textFill>
            <w14:solidFill>
              <w14:schemeClr w14:val="tx1"/>
            </w14:solidFill>
          </w14:textFill>
        </w:rPr>
        <w:t>4.深化体教结合改革</w:t>
      </w:r>
      <w:bookmarkEnd w:id="57"/>
    </w:p>
    <w:p>
      <w:pPr>
        <w:pStyle w:val="12"/>
        <w:widowControl/>
        <w:shd w:val="clear" w:color="auto" w:fill="FFFFFF"/>
        <w:spacing w:beforeAutospacing="0" w:afterAutospacing="0" w:line="520" w:lineRule="exact"/>
        <w:ind w:firstLine="560" w:firstLineChars="200"/>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强化体校培养后备人才主阵地、主渠道作用，突出滁州市体校专业特色和体育后备人才培养任务，建立与省体校、省训练管理中心“初、中、高一体化”训练体系，选拔培育优秀苗子，系统科学开展训练，打好专项训练基础。将体校义务教育适龄学生的文化教育全部纳入国民教育体系，配齐配足配优文化课教师，加强教育教学管理，加大对体校教室、实验室、多功能教室等教学设施、运动场馆和设备经费投入，推进教育教学和训练质量评价双考核，促进体校学生德智体美劳全面发展。切实加强运动员的入学、升学、转学和学籍的管理工作。</w:t>
      </w:r>
    </w:p>
    <w:p>
      <w:pPr>
        <w:pStyle w:val="4"/>
        <w:spacing w:line="520" w:lineRule="exact"/>
        <w:rPr>
          <w:color w:val="000000" w:themeColor="text1"/>
          <w14:textFill>
            <w14:solidFill>
              <w14:schemeClr w14:val="tx1"/>
            </w14:solidFill>
          </w14:textFill>
        </w:rPr>
      </w:pPr>
      <w:bookmarkStart w:id="58" w:name="_Toc31467"/>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）强化依法行政，推进体育法治建设工作</w:t>
      </w:r>
      <w:bookmarkEnd w:id="58"/>
    </w:p>
    <w:p>
      <w:pPr>
        <w:pStyle w:val="5"/>
        <w:spacing w:line="520" w:lineRule="exact"/>
        <w:rPr>
          <w:color w:val="000000" w:themeColor="text1"/>
          <w14:textFill>
            <w14:solidFill>
              <w14:schemeClr w14:val="tx1"/>
            </w14:solidFill>
          </w14:textFill>
        </w:rPr>
      </w:pPr>
      <w:bookmarkStart w:id="59" w:name="_Toc7921"/>
      <w:r>
        <w:rPr>
          <w:rFonts w:hint="eastAsia"/>
          <w:color w:val="000000" w:themeColor="text1"/>
          <w14:textFill>
            <w14:solidFill>
              <w14:schemeClr w14:val="tx1"/>
            </w14:solidFill>
          </w14:textFill>
        </w:rPr>
        <w:t>1.完善体育规章制度，强化体育发展法律支持</w:t>
      </w:r>
      <w:bookmarkEnd w:id="59"/>
    </w:p>
    <w:p>
      <w:pPr>
        <w:pStyle w:val="12"/>
        <w:widowControl/>
        <w:shd w:val="clear" w:color="auto" w:fill="FFFFFF"/>
        <w:spacing w:beforeAutospacing="0" w:afterAutospacing="0" w:line="520" w:lineRule="exact"/>
        <w:ind w:firstLine="560" w:firstLineChars="200"/>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积极落实涉及体育方面的政策法规，制定完善体育事业规范性文件，加强对政策执行情况的评估督查，为滁州市体育事业发展提供强有力的政策和法律支持。大力推进政府向社会购买体育公共服务，完善购买服务内容、标准、方式和程序，建立健全承接政府购买服务绩效评估体系。</w:t>
      </w:r>
    </w:p>
    <w:p>
      <w:pPr>
        <w:pStyle w:val="5"/>
        <w:spacing w:line="520" w:lineRule="exact"/>
        <w:rPr>
          <w:color w:val="000000" w:themeColor="text1"/>
          <w14:textFill>
            <w14:solidFill>
              <w14:schemeClr w14:val="tx1"/>
            </w14:solidFill>
          </w14:textFill>
        </w:rPr>
      </w:pPr>
      <w:bookmarkStart w:id="60" w:name="_Toc17886"/>
      <w:r>
        <w:rPr>
          <w:rFonts w:hint="eastAsia"/>
          <w:color w:val="000000" w:themeColor="text1"/>
          <w14:textFill>
            <w14:solidFill>
              <w14:schemeClr w14:val="tx1"/>
            </w14:solidFill>
          </w14:textFill>
        </w:rPr>
        <w:t>2.规范体育行政执法，提升体育市场监管水平</w:t>
      </w:r>
      <w:bookmarkEnd w:id="60"/>
    </w:p>
    <w:p>
      <w:pPr>
        <w:pStyle w:val="12"/>
        <w:widowControl/>
        <w:shd w:val="clear" w:color="auto" w:fill="FFFFFF"/>
        <w:spacing w:beforeAutospacing="0" w:afterAutospacing="0" w:line="520" w:lineRule="exact"/>
        <w:ind w:firstLine="560" w:firstLineChars="200"/>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推进体育领域行政执法规范化、制度化、常态化，认真落实行政执法三项制度，规范执法行为。认真执行体育相关法律与规范性文件，进一步明确执法依据和权限，保证体育执法公正、文明、规范、有序。加快体育执法队伍建设，着力解决执法人员不足、执法器材短缺等问题。加大体育市场执法监管力度，做好对区县体育执法工作的监督检查。</w:t>
      </w:r>
    </w:p>
    <w:p>
      <w:pPr>
        <w:pStyle w:val="5"/>
        <w:spacing w:line="520" w:lineRule="exact"/>
        <w:rPr>
          <w:color w:val="000000" w:themeColor="text1"/>
          <w14:textFill>
            <w14:solidFill>
              <w14:schemeClr w14:val="tx1"/>
            </w14:solidFill>
          </w14:textFill>
        </w:rPr>
      </w:pPr>
      <w:bookmarkStart w:id="61" w:name="_Toc14157"/>
      <w:r>
        <w:rPr>
          <w:rFonts w:hint="eastAsia"/>
          <w:color w:val="000000" w:themeColor="text1"/>
          <w14:textFill>
            <w14:solidFill>
              <w14:schemeClr w14:val="tx1"/>
            </w14:solidFill>
          </w14:textFill>
        </w:rPr>
        <w:t>3.加强法治宣传教育，营造尊法、学法、懂法、守法良好氛围</w:t>
      </w:r>
      <w:bookmarkEnd w:id="61"/>
    </w:p>
    <w:p>
      <w:pPr>
        <w:pStyle w:val="12"/>
        <w:widowControl/>
        <w:shd w:val="clear" w:color="auto" w:fill="FFFFFF"/>
        <w:spacing w:beforeAutospacing="0" w:afterAutospacing="0" w:line="520" w:lineRule="exact"/>
        <w:ind w:firstLine="560" w:firstLineChars="200"/>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加强对体育法治宣传教育工作的领导，按照“谁执法、谁普法”“谁管理谁普法”“谁服务谁普法”普法责任制要求，积极做好体育法律法规的宣传普及工作。健全体育行政执法人员岗位培训制度,组织开展体育行政执法人员法治专题培训。积极利用新媒体技术开展体育法治宣传教育。重点对体育系统的运动员、教练员进行以爱国主义为核心的宣传教育，通过宣讲《反兴奋剂条例》进一步创造公平、公正的竞赛环境。坚持学法、用法相结合，进一步完善领导干部学法用法制度，营造尊法、学法、懂法、守法的良好氛围。利用会议、杂志和网络等多种形式，组织干部、教练员、运动员等举行赛风赛纪和反兴奋剂专项治理会议，积极开展爱国主义、集体主义和职业道德教育。</w:t>
      </w:r>
    </w:p>
    <w:p>
      <w:pPr>
        <w:pStyle w:val="3"/>
        <w:spacing w:line="520" w:lineRule="exact"/>
        <w:rPr>
          <w:rFonts w:hint="default"/>
          <w:color w:val="000000" w:themeColor="text1"/>
          <w14:textFill>
            <w14:solidFill>
              <w14:schemeClr w14:val="tx1"/>
            </w14:solidFill>
          </w14:textFill>
        </w:rPr>
      </w:pPr>
      <w:bookmarkStart w:id="62" w:name="_Toc4814"/>
      <w:r>
        <w:rPr>
          <w:color w:val="000000" w:themeColor="text1"/>
          <w14:textFill>
            <w14:solidFill>
              <w14:schemeClr w14:val="tx1"/>
            </w14:solidFill>
          </w14:textFill>
        </w:rPr>
        <w:t>四、为实现体育发展“十四五”规划而奋斗</w:t>
      </w:r>
      <w:bookmarkEnd w:id="62"/>
    </w:p>
    <w:p>
      <w:pPr>
        <w:pStyle w:val="4"/>
        <w:spacing w:line="520" w:lineRule="exact"/>
        <w:rPr>
          <w:color w:val="000000" w:themeColor="text1"/>
          <w14:textFill>
            <w14:solidFill>
              <w14:schemeClr w14:val="tx1"/>
            </w14:solidFill>
          </w14:textFill>
        </w:rPr>
      </w:pPr>
      <w:bookmarkStart w:id="63" w:name="_Toc2446"/>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十二</w:t>
      </w:r>
      <w:r>
        <w:rPr>
          <w:rFonts w:hint="eastAsia"/>
          <w:color w:val="000000" w:themeColor="text1"/>
          <w14:textFill>
            <w14:solidFill>
              <w14:schemeClr w14:val="tx1"/>
            </w14:solidFill>
          </w14:textFill>
        </w:rPr>
        <w:t>）加强组织领导</w:t>
      </w:r>
      <w:bookmarkEnd w:id="63"/>
    </w:p>
    <w:p>
      <w:pPr>
        <w:pStyle w:val="12"/>
        <w:widowControl/>
        <w:shd w:val="clear" w:color="auto" w:fill="FFFFFF"/>
        <w:spacing w:beforeAutospacing="0" w:afterAutospacing="0" w:line="520" w:lineRule="exact"/>
        <w:ind w:firstLine="560" w:firstLineChars="200"/>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提高政治站位，坚持党的全面领导，推动全面从严治党，贯彻全民健身国家战略，实施健康中国战略，为实现滁州市体育事业高质量发展提供保证。建立政府部门协调机制，明确责任分工，完善支持激励政策，充分发挥政府的积极作用，科学制定政策，强化组织实施，落实保障措施，对体育改革发展的重点工程和任务，制定时间表、路线图和任务书。</w:t>
      </w:r>
    </w:p>
    <w:p>
      <w:pPr>
        <w:pStyle w:val="4"/>
        <w:spacing w:line="520" w:lineRule="exact"/>
        <w:rPr>
          <w:color w:val="000000" w:themeColor="text1"/>
          <w14:textFill>
            <w14:solidFill>
              <w14:schemeClr w14:val="tx1"/>
            </w14:solidFill>
          </w14:textFill>
        </w:rPr>
      </w:pPr>
      <w:bookmarkStart w:id="64" w:name="_Toc32625"/>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十三</w:t>
      </w:r>
      <w:r>
        <w:rPr>
          <w:rFonts w:hint="eastAsia"/>
          <w:color w:val="000000" w:themeColor="text1"/>
          <w14:textFill>
            <w14:solidFill>
              <w14:schemeClr w14:val="tx1"/>
            </w14:solidFill>
          </w14:textFill>
        </w:rPr>
        <w:t>）全面深化改革</w:t>
      </w:r>
      <w:bookmarkEnd w:id="64"/>
    </w:p>
    <w:p>
      <w:pPr>
        <w:pStyle w:val="12"/>
        <w:widowControl/>
        <w:shd w:val="clear" w:color="auto" w:fill="FFFFFF"/>
        <w:spacing w:beforeAutospacing="0" w:afterAutospacing="0" w:line="520" w:lineRule="exact"/>
        <w:ind w:firstLine="560" w:firstLineChars="200"/>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根据新时期体育发展的新任务新要求，科学研判，更新体育理念，破除体制机制障碍，进一步加快政府职能的转变，引导社会力量参与、推动重点体育领域和关键环节的发展，激发活力，加快速度，提高质量。对于调动社会积极性的改革举措，要坚持试点先行，以点带面，积极推进。同时加强改革督促检查，完善统筹决策、分工落实、督察督办、确保各项体育改革措施稳步推进。</w:t>
      </w:r>
    </w:p>
    <w:p>
      <w:pPr>
        <w:pStyle w:val="4"/>
        <w:spacing w:line="520" w:lineRule="exact"/>
        <w:rPr>
          <w:color w:val="000000" w:themeColor="text1"/>
          <w14:textFill>
            <w14:solidFill>
              <w14:schemeClr w14:val="tx1"/>
            </w14:solidFill>
          </w14:textFill>
        </w:rPr>
      </w:pPr>
      <w:bookmarkStart w:id="65" w:name="_Toc28051"/>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十四</w:t>
      </w:r>
      <w:r>
        <w:rPr>
          <w:rFonts w:hint="eastAsia"/>
          <w:color w:val="000000" w:themeColor="text1"/>
          <w14:textFill>
            <w14:solidFill>
              <w14:schemeClr w14:val="tx1"/>
            </w14:solidFill>
          </w14:textFill>
        </w:rPr>
        <w:t>）完善投入机制</w:t>
      </w:r>
      <w:bookmarkEnd w:id="65"/>
      <w:r>
        <w:rPr>
          <w:rFonts w:hint="eastAsia"/>
          <w:color w:val="000000" w:themeColor="text1"/>
          <w14:textFill>
            <w14:solidFill>
              <w14:schemeClr w14:val="tx1"/>
            </w14:solidFill>
          </w14:textFill>
        </w:rPr>
        <w:t>　</w:t>
      </w:r>
    </w:p>
    <w:p>
      <w:pPr>
        <w:pStyle w:val="12"/>
        <w:widowControl/>
        <w:shd w:val="clear" w:color="auto" w:fill="FFFFFF"/>
        <w:spacing w:beforeAutospacing="0" w:afterAutospacing="0" w:line="520" w:lineRule="exact"/>
        <w:ind w:firstLine="560" w:firstLineChars="200"/>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建立稳定的投入保障机制，落实配套建设资金。加强财政对于体育事业发展“十四五”规划制定与实施的资金保障，综合运用财政资金、商业贷款、地方政府专项债券、企业债券、产业投资基金等多种资金渠道，解决项目建设资金。加大对体育关键领域、薄弱环节、重点项目的支持力度，加强对财政资金使用效益的评估。加大政府向社会力量购买公共体育服务的力度。</w:t>
      </w:r>
    </w:p>
    <w:p>
      <w:pPr>
        <w:pStyle w:val="4"/>
        <w:spacing w:line="520" w:lineRule="exact"/>
        <w:rPr>
          <w:color w:val="000000" w:themeColor="text1"/>
          <w14:textFill>
            <w14:solidFill>
              <w14:schemeClr w14:val="tx1"/>
            </w14:solidFill>
          </w14:textFill>
        </w:rPr>
      </w:pPr>
      <w:bookmarkStart w:id="66" w:name="_Toc22845"/>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十五</w:t>
      </w:r>
      <w:r>
        <w:rPr>
          <w:rFonts w:hint="eastAsia"/>
          <w:color w:val="000000" w:themeColor="text1"/>
          <w14:textFill>
            <w14:solidFill>
              <w14:schemeClr w14:val="tx1"/>
            </w14:solidFill>
          </w14:textFill>
        </w:rPr>
        <w:t>）严格项目管理</w:t>
      </w:r>
      <w:bookmarkEnd w:id="66"/>
    </w:p>
    <w:p>
      <w:pPr>
        <w:pStyle w:val="12"/>
        <w:widowControl/>
        <w:shd w:val="clear" w:color="auto" w:fill="FFFFFF"/>
        <w:spacing w:beforeAutospacing="0" w:afterAutospacing="0" w:line="520" w:lineRule="exact"/>
        <w:ind w:firstLine="560" w:firstLineChars="200"/>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各部门要建立工作联动机制，共同做好项目的组织、协调、监督等工作，加强对项目全过程的监督和检查，确保项目及时开工，及时更新、按时完工。完善体育市场监管体制，积极推进将体育执法纳入文化或市场监管等综合执法范畴工作进程。细化监管举措，不断完善体育市场重点领域的监管制度体系。严格执行项目法人责任制、招标投标制、工程监理制等法律法规，保证建设质量，项目建成后要及时组织验收。</w:t>
      </w:r>
    </w:p>
    <w:p>
      <w:pPr>
        <w:pStyle w:val="4"/>
        <w:spacing w:line="520" w:lineRule="exact"/>
        <w:rPr>
          <w:color w:val="000000" w:themeColor="text1"/>
          <w14:textFill>
            <w14:solidFill>
              <w14:schemeClr w14:val="tx1"/>
            </w14:solidFill>
          </w14:textFill>
        </w:rPr>
      </w:pPr>
      <w:bookmarkStart w:id="67" w:name="_Toc17342"/>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十六</w:t>
      </w:r>
      <w:r>
        <w:rPr>
          <w:rFonts w:hint="eastAsia"/>
          <w:color w:val="000000" w:themeColor="text1"/>
          <w14:textFill>
            <w14:solidFill>
              <w14:schemeClr w14:val="tx1"/>
            </w14:solidFill>
          </w14:textFill>
        </w:rPr>
        <w:t>）强化评估监督</w:t>
      </w:r>
      <w:bookmarkEnd w:id="67"/>
    </w:p>
    <w:p>
      <w:pPr>
        <w:pStyle w:val="12"/>
        <w:widowControl/>
        <w:shd w:val="clear" w:color="auto" w:fill="FFFFFF"/>
        <w:spacing w:beforeAutospacing="0" w:afterAutospacing="0" w:line="520" w:lineRule="exact"/>
        <w:ind w:firstLine="560" w:firstLineChars="200"/>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将“十四五”体育发展规划实施情况、完成情况作为督促检查市县体育行政部门和协会的重要内容。建立规划实施的动态监测与评估机制，组织对规划实施情况开展跟踪监测，及时发现问题，优化实施策略，出台针对性政策，调整规划目标、任务与政策措施。健全规划的多方评估机制，充分调动社会各方面积极性，逐步建立起专家评价、社会评价和自我评价等多方结合的规划评估机制。强化规划的社会监督，推动各级体育行政部门定期发布体育事业发展动态和规划实施情况，及时向社会公布“十四五”规划实施进展状况，确保规划总体目标任务如期完成。</w:t>
      </w:r>
    </w:p>
    <w:p>
      <w:pPr>
        <w:spacing w:line="520" w:lineRule="exact"/>
        <w:ind w:firstLine="420" w:firstLineChars="200"/>
      </w:pPr>
    </w:p>
    <w:sectPr>
      <w:footerReference r:id="rId5" w:type="default"/>
      <w:pgSz w:w="11906" w:h="16838"/>
      <w:pgMar w:top="1440" w:right="1800" w:bottom="1440" w:left="1800" w:header="907" w:footer="85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FSK--GBK1-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26</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26</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bookmarkStart w:id="68" w:name="_GoBack"/>
    <w:bookmarkEnd w:id="6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33C"/>
    <w:rsid w:val="003449EF"/>
    <w:rsid w:val="003F6F25"/>
    <w:rsid w:val="004654C3"/>
    <w:rsid w:val="00757652"/>
    <w:rsid w:val="0083538B"/>
    <w:rsid w:val="0089433C"/>
    <w:rsid w:val="009931C8"/>
    <w:rsid w:val="01042609"/>
    <w:rsid w:val="014A4DD2"/>
    <w:rsid w:val="018D1A7A"/>
    <w:rsid w:val="01A1468C"/>
    <w:rsid w:val="01D15C3B"/>
    <w:rsid w:val="02183A28"/>
    <w:rsid w:val="029E659F"/>
    <w:rsid w:val="02BE37E6"/>
    <w:rsid w:val="03084BCB"/>
    <w:rsid w:val="039D2C10"/>
    <w:rsid w:val="0474269A"/>
    <w:rsid w:val="04D35C4D"/>
    <w:rsid w:val="04FE5171"/>
    <w:rsid w:val="05857109"/>
    <w:rsid w:val="05AD28D5"/>
    <w:rsid w:val="05B24489"/>
    <w:rsid w:val="05BB23E7"/>
    <w:rsid w:val="05D5263D"/>
    <w:rsid w:val="05F42798"/>
    <w:rsid w:val="061546A8"/>
    <w:rsid w:val="066E4830"/>
    <w:rsid w:val="06864C3F"/>
    <w:rsid w:val="069868CC"/>
    <w:rsid w:val="06FD4134"/>
    <w:rsid w:val="070967BA"/>
    <w:rsid w:val="0754418E"/>
    <w:rsid w:val="0760204D"/>
    <w:rsid w:val="079135EB"/>
    <w:rsid w:val="08001EAB"/>
    <w:rsid w:val="080701FD"/>
    <w:rsid w:val="080E3903"/>
    <w:rsid w:val="083213FC"/>
    <w:rsid w:val="083642EA"/>
    <w:rsid w:val="083D2314"/>
    <w:rsid w:val="083F341B"/>
    <w:rsid w:val="08644552"/>
    <w:rsid w:val="08942CD4"/>
    <w:rsid w:val="08AF1A00"/>
    <w:rsid w:val="08AF6998"/>
    <w:rsid w:val="08BE3364"/>
    <w:rsid w:val="08E770A3"/>
    <w:rsid w:val="091659D1"/>
    <w:rsid w:val="09187C60"/>
    <w:rsid w:val="092D58E4"/>
    <w:rsid w:val="09565A92"/>
    <w:rsid w:val="09723313"/>
    <w:rsid w:val="09FF0E3A"/>
    <w:rsid w:val="0A025C49"/>
    <w:rsid w:val="0A2515F3"/>
    <w:rsid w:val="0A42432E"/>
    <w:rsid w:val="0A650B58"/>
    <w:rsid w:val="0AFD6F2C"/>
    <w:rsid w:val="0B59286F"/>
    <w:rsid w:val="0B912CE8"/>
    <w:rsid w:val="0BD12F9E"/>
    <w:rsid w:val="0C9F4A60"/>
    <w:rsid w:val="0CB80C52"/>
    <w:rsid w:val="0CD4076C"/>
    <w:rsid w:val="0D1279B7"/>
    <w:rsid w:val="0D1B593C"/>
    <w:rsid w:val="0DA33E66"/>
    <w:rsid w:val="0DF4485F"/>
    <w:rsid w:val="0E132592"/>
    <w:rsid w:val="0E162E38"/>
    <w:rsid w:val="0E6E4E63"/>
    <w:rsid w:val="0F5C1E2C"/>
    <w:rsid w:val="0F700E8A"/>
    <w:rsid w:val="0FA6223D"/>
    <w:rsid w:val="0FA64E89"/>
    <w:rsid w:val="10B35AB9"/>
    <w:rsid w:val="11E236A9"/>
    <w:rsid w:val="12375CAC"/>
    <w:rsid w:val="124B321D"/>
    <w:rsid w:val="12B74A3F"/>
    <w:rsid w:val="12BB37E3"/>
    <w:rsid w:val="131C7B7B"/>
    <w:rsid w:val="13AA286D"/>
    <w:rsid w:val="13D61B9A"/>
    <w:rsid w:val="13D97DEF"/>
    <w:rsid w:val="13E21303"/>
    <w:rsid w:val="1464324F"/>
    <w:rsid w:val="1466604F"/>
    <w:rsid w:val="14AC03F7"/>
    <w:rsid w:val="15365565"/>
    <w:rsid w:val="15387373"/>
    <w:rsid w:val="15713017"/>
    <w:rsid w:val="157A187A"/>
    <w:rsid w:val="15CD0F30"/>
    <w:rsid w:val="164B3D96"/>
    <w:rsid w:val="16757AD8"/>
    <w:rsid w:val="1687453A"/>
    <w:rsid w:val="16EA309C"/>
    <w:rsid w:val="175545D3"/>
    <w:rsid w:val="17712ECA"/>
    <w:rsid w:val="17F861AE"/>
    <w:rsid w:val="18264FE3"/>
    <w:rsid w:val="18372E08"/>
    <w:rsid w:val="18735EF4"/>
    <w:rsid w:val="18C51ACD"/>
    <w:rsid w:val="18FE2936"/>
    <w:rsid w:val="190A53DF"/>
    <w:rsid w:val="191875E4"/>
    <w:rsid w:val="193E6C9F"/>
    <w:rsid w:val="196F0725"/>
    <w:rsid w:val="19B76D2B"/>
    <w:rsid w:val="19D37FB4"/>
    <w:rsid w:val="1A03202D"/>
    <w:rsid w:val="1A6A669C"/>
    <w:rsid w:val="1A6F2CA6"/>
    <w:rsid w:val="1AA85E71"/>
    <w:rsid w:val="1AAA77C2"/>
    <w:rsid w:val="1AE36053"/>
    <w:rsid w:val="1B31385B"/>
    <w:rsid w:val="1B314A17"/>
    <w:rsid w:val="1BF14BDB"/>
    <w:rsid w:val="1C2278C9"/>
    <w:rsid w:val="1C3E7AC0"/>
    <w:rsid w:val="1C5D0BB9"/>
    <w:rsid w:val="1C625AC5"/>
    <w:rsid w:val="1CD32EC2"/>
    <w:rsid w:val="1D874ED6"/>
    <w:rsid w:val="1E287B89"/>
    <w:rsid w:val="1E362877"/>
    <w:rsid w:val="1E8A2D5F"/>
    <w:rsid w:val="1EBC3155"/>
    <w:rsid w:val="1ED71C6B"/>
    <w:rsid w:val="1F077B95"/>
    <w:rsid w:val="1F0F1BE5"/>
    <w:rsid w:val="1F8F201F"/>
    <w:rsid w:val="1FAF4467"/>
    <w:rsid w:val="1FBE2A79"/>
    <w:rsid w:val="20164802"/>
    <w:rsid w:val="203C0F09"/>
    <w:rsid w:val="20A77C3B"/>
    <w:rsid w:val="214A145D"/>
    <w:rsid w:val="214A2733"/>
    <w:rsid w:val="216C4353"/>
    <w:rsid w:val="219C5529"/>
    <w:rsid w:val="21BF0650"/>
    <w:rsid w:val="21EB6595"/>
    <w:rsid w:val="22026E3F"/>
    <w:rsid w:val="22402743"/>
    <w:rsid w:val="224A7A01"/>
    <w:rsid w:val="2255550D"/>
    <w:rsid w:val="227913D1"/>
    <w:rsid w:val="22800A46"/>
    <w:rsid w:val="22E100A0"/>
    <w:rsid w:val="22F56D09"/>
    <w:rsid w:val="23B077F2"/>
    <w:rsid w:val="23C31913"/>
    <w:rsid w:val="243F62BD"/>
    <w:rsid w:val="24555A45"/>
    <w:rsid w:val="248F0EEE"/>
    <w:rsid w:val="24B26F50"/>
    <w:rsid w:val="24BF666C"/>
    <w:rsid w:val="24F37649"/>
    <w:rsid w:val="24F85DD1"/>
    <w:rsid w:val="2503539A"/>
    <w:rsid w:val="25231CFC"/>
    <w:rsid w:val="253D0A6F"/>
    <w:rsid w:val="25414D7E"/>
    <w:rsid w:val="25695CEE"/>
    <w:rsid w:val="25B359AB"/>
    <w:rsid w:val="25CD0373"/>
    <w:rsid w:val="268358BC"/>
    <w:rsid w:val="273107DD"/>
    <w:rsid w:val="27426BA3"/>
    <w:rsid w:val="274C34D6"/>
    <w:rsid w:val="277D5D66"/>
    <w:rsid w:val="2832212B"/>
    <w:rsid w:val="285759B9"/>
    <w:rsid w:val="286B46EB"/>
    <w:rsid w:val="287B0D86"/>
    <w:rsid w:val="287C2416"/>
    <w:rsid w:val="288355CF"/>
    <w:rsid w:val="28D433E4"/>
    <w:rsid w:val="28EC407D"/>
    <w:rsid w:val="290F09E9"/>
    <w:rsid w:val="29733011"/>
    <w:rsid w:val="29C83E94"/>
    <w:rsid w:val="29DF2F4C"/>
    <w:rsid w:val="29F1704A"/>
    <w:rsid w:val="2A2A3860"/>
    <w:rsid w:val="2A414DCD"/>
    <w:rsid w:val="2AAF1CD0"/>
    <w:rsid w:val="2AC02A1C"/>
    <w:rsid w:val="2AFB4013"/>
    <w:rsid w:val="2AFB7D44"/>
    <w:rsid w:val="2B165412"/>
    <w:rsid w:val="2B4F1909"/>
    <w:rsid w:val="2B5F6C16"/>
    <w:rsid w:val="2B860FA7"/>
    <w:rsid w:val="2BCD7928"/>
    <w:rsid w:val="2BD44A67"/>
    <w:rsid w:val="2BF11411"/>
    <w:rsid w:val="2CB2173E"/>
    <w:rsid w:val="2D6F30CB"/>
    <w:rsid w:val="2DBA2DDC"/>
    <w:rsid w:val="2E5B68BC"/>
    <w:rsid w:val="2E69486D"/>
    <w:rsid w:val="2EA407C7"/>
    <w:rsid w:val="2EA708E1"/>
    <w:rsid w:val="2EB40EF1"/>
    <w:rsid w:val="2F0822CD"/>
    <w:rsid w:val="2F102A1C"/>
    <w:rsid w:val="2F2E2A37"/>
    <w:rsid w:val="2F837AA2"/>
    <w:rsid w:val="2F8970AF"/>
    <w:rsid w:val="2FA6451D"/>
    <w:rsid w:val="2FDB7AA5"/>
    <w:rsid w:val="300C41D8"/>
    <w:rsid w:val="30BC2E17"/>
    <w:rsid w:val="314F0BDC"/>
    <w:rsid w:val="31901911"/>
    <w:rsid w:val="319646E7"/>
    <w:rsid w:val="31AA3130"/>
    <w:rsid w:val="31BA7668"/>
    <w:rsid w:val="31DD6A07"/>
    <w:rsid w:val="31F46C49"/>
    <w:rsid w:val="32490263"/>
    <w:rsid w:val="32657CC6"/>
    <w:rsid w:val="326F035F"/>
    <w:rsid w:val="32787958"/>
    <w:rsid w:val="33421111"/>
    <w:rsid w:val="33B86AFF"/>
    <w:rsid w:val="33CC1464"/>
    <w:rsid w:val="3456731B"/>
    <w:rsid w:val="348A687C"/>
    <w:rsid w:val="34A71207"/>
    <w:rsid w:val="34A8439B"/>
    <w:rsid w:val="34EF022F"/>
    <w:rsid w:val="354D7B86"/>
    <w:rsid w:val="35651058"/>
    <w:rsid w:val="35BF4E59"/>
    <w:rsid w:val="361E777B"/>
    <w:rsid w:val="366512E1"/>
    <w:rsid w:val="3679510D"/>
    <w:rsid w:val="36AF1026"/>
    <w:rsid w:val="36C513EC"/>
    <w:rsid w:val="3712461B"/>
    <w:rsid w:val="371C2A08"/>
    <w:rsid w:val="37476D37"/>
    <w:rsid w:val="37655AC7"/>
    <w:rsid w:val="37775BE1"/>
    <w:rsid w:val="38AD5D6C"/>
    <w:rsid w:val="38AF44B8"/>
    <w:rsid w:val="38C87BF4"/>
    <w:rsid w:val="3A026FE7"/>
    <w:rsid w:val="3A0E3238"/>
    <w:rsid w:val="3A386E1C"/>
    <w:rsid w:val="3A600266"/>
    <w:rsid w:val="3A8F2FBD"/>
    <w:rsid w:val="3A931F9A"/>
    <w:rsid w:val="3ABA1196"/>
    <w:rsid w:val="3AC75F8F"/>
    <w:rsid w:val="3ADA401F"/>
    <w:rsid w:val="3B3679A6"/>
    <w:rsid w:val="3B3D1741"/>
    <w:rsid w:val="3B421F9E"/>
    <w:rsid w:val="3B7D42E6"/>
    <w:rsid w:val="3B947E31"/>
    <w:rsid w:val="3BA0728E"/>
    <w:rsid w:val="3C9477BD"/>
    <w:rsid w:val="3CD67AE9"/>
    <w:rsid w:val="3CFE2963"/>
    <w:rsid w:val="3D720159"/>
    <w:rsid w:val="3D921364"/>
    <w:rsid w:val="3D9A4CC8"/>
    <w:rsid w:val="3D9E1E28"/>
    <w:rsid w:val="3DD6683C"/>
    <w:rsid w:val="3E373371"/>
    <w:rsid w:val="3E3A02E6"/>
    <w:rsid w:val="3ED820E3"/>
    <w:rsid w:val="3F1260C1"/>
    <w:rsid w:val="3FC45529"/>
    <w:rsid w:val="3FC541C7"/>
    <w:rsid w:val="40B17DEC"/>
    <w:rsid w:val="40CF272D"/>
    <w:rsid w:val="41122101"/>
    <w:rsid w:val="41673283"/>
    <w:rsid w:val="41D87EAA"/>
    <w:rsid w:val="42022C88"/>
    <w:rsid w:val="420D3331"/>
    <w:rsid w:val="4234712D"/>
    <w:rsid w:val="425E0418"/>
    <w:rsid w:val="427A791C"/>
    <w:rsid w:val="43231200"/>
    <w:rsid w:val="437A4B4D"/>
    <w:rsid w:val="43F734B8"/>
    <w:rsid w:val="446E6FF5"/>
    <w:rsid w:val="44996AEF"/>
    <w:rsid w:val="456B47BB"/>
    <w:rsid w:val="45DA3580"/>
    <w:rsid w:val="45E1402B"/>
    <w:rsid w:val="4613137A"/>
    <w:rsid w:val="462202D7"/>
    <w:rsid w:val="46AB7674"/>
    <w:rsid w:val="46AF3D4C"/>
    <w:rsid w:val="46CB126D"/>
    <w:rsid w:val="473F0FF6"/>
    <w:rsid w:val="47516330"/>
    <w:rsid w:val="483242A4"/>
    <w:rsid w:val="48A04296"/>
    <w:rsid w:val="48CD037A"/>
    <w:rsid w:val="49396C5A"/>
    <w:rsid w:val="49432B0E"/>
    <w:rsid w:val="49AE4894"/>
    <w:rsid w:val="49E46F96"/>
    <w:rsid w:val="4AB0619B"/>
    <w:rsid w:val="4ABF6C33"/>
    <w:rsid w:val="4B3D7795"/>
    <w:rsid w:val="4B95227D"/>
    <w:rsid w:val="4B9601D0"/>
    <w:rsid w:val="4BB672E7"/>
    <w:rsid w:val="4BCE4837"/>
    <w:rsid w:val="4C255C85"/>
    <w:rsid w:val="4C3A4DCF"/>
    <w:rsid w:val="4C6B4367"/>
    <w:rsid w:val="4C6C675D"/>
    <w:rsid w:val="4CA32778"/>
    <w:rsid w:val="4CBA6DD9"/>
    <w:rsid w:val="4D4B4DA2"/>
    <w:rsid w:val="4D695D61"/>
    <w:rsid w:val="4F686757"/>
    <w:rsid w:val="4F7A2ACA"/>
    <w:rsid w:val="4F9B431A"/>
    <w:rsid w:val="4FA87A17"/>
    <w:rsid w:val="4FB40388"/>
    <w:rsid w:val="4FC4285A"/>
    <w:rsid w:val="5105080B"/>
    <w:rsid w:val="51682AF4"/>
    <w:rsid w:val="518F20DE"/>
    <w:rsid w:val="51C92B3F"/>
    <w:rsid w:val="51E140E1"/>
    <w:rsid w:val="51F41A68"/>
    <w:rsid w:val="52AB581D"/>
    <w:rsid w:val="52D36B6A"/>
    <w:rsid w:val="52D83E73"/>
    <w:rsid w:val="52F630A0"/>
    <w:rsid w:val="52FB2329"/>
    <w:rsid w:val="530C12BE"/>
    <w:rsid w:val="530E41E6"/>
    <w:rsid w:val="53166860"/>
    <w:rsid w:val="532C2136"/>
    <w:rsid w:val="53766769"/>
    <w:rsid w:val="53F1027D"/>
    <w:rsid w:val="54243A5A"/>
    <w:rsid w:val="54826357"/>
    <w:rsid w:val="554A03FB"/>
    <w:rsid w:val="55BA7151"/>
    <w:rsid w:val="55C1423D"/>
    <w:rsid w:val="55DC4859"/>
    <w:rsid w:val="561D1826"/>
    <w:rsid w:val="56576335"/>
    <w:rsid w:val="57610581"/>
    <w:rsid w:val="57A5720B"/>
    <w:rsid w:val="582F3362"/>
    <w:rsid w:val="58323E46"/>
    <w:rsid w:val="58834315"/>
    <w:rsid w:val="588637D3"/>
    <w:rsid w:val="58884C95"/>
    <w:rsid w:val="58DA5B89"/>
    <w:rsid w:val="59305E09"/>
    <w:rsid w:val="594102BA"/>
    <w:rsid w:val="598D6D4F"/>
    <w:rsid w:val="599604D9"/>
    <w:rsid w:val="59A53389"/>
    <w:rsid w:val="59CA68C2"/>
    <w:rsid w:val="59DE529F"/>
    <w:rsid w:val="5AAD7F5F"/>
    <w:rsid w:val="5AB959C2"/>
    <w:rsid w:val="5ADC54A0"/>
    <w:rsid w:val="5AF25C11"/>
    <w:rsid w:val="5B0042B5"/>
    <w:rsid w:val="5B6416C9"/>
    <w:rsid w:val="5BF87191"/>
    <w:rsid w:val="5C0D26EC"/>
    <w:rsid w:val="5C6763C3"/>
    <w:rsid w:val="5CD47430"/>
    <w:rsid w:val="5CF9217E"/>
    <w:rsid w:val="5CFE3B00"/>
    <w:rsid w:val="5D506B36"/>
    <w:rsid w:val="5D672B85"/>
    <w:rsid w:val="5D893E9F"/>
    <w:rsid w:val="5DC51B1C"/>
    <w:rsid w:val="5DD77B86"/>
    <w:rsid w:val="5DD86521"/>
    <w:rsid w:val="5DDB263A"/>
    <w:rsid w:val="5DF17A35"/>
    <w:rsid w:val="5E0A30BF"/>
    <w:rsid w:val="5E2C77A0"/>
    <w:rsid w:val="5E87437D"/>
    <w:rsid w:val="5EB95AB6"/>
    <w:rsid w:val="5F0829F1"/>
    <w:rsid w:val="5F484B71"/>
    <w:rsid w:val="5F9C65D1"/>
    <w:rsid w:val="5FDC6CB5"/>
    <w:rsid w:val="5FFA5333"/>
    <w:rsid w:val="60115808"/>
    <w:rsid w:val="60131901"/>
    <w:rsid w:val="6031421E"/>
    <w:rsid w:val="607553E3"/>
    <w:rsid w:val="60B3409B"/>
    <w:rsid w:val="60BA1071"/>
    <w:rsid w:val="60BE2CDC"/>
    <w:rsid w:val="60FB10F7"/>
    <w:rsid w:val="61661386"/>
    <w:rsid w:val="61C5637F"/>
    <w:rsid w:val="61F3093F"/>
    <w:rsid w:val="61FD754C"/>
    <w:rsid w:val="623D4F01"/>
    <w:rsid w:val="6249328D"/>
    <w:rsid w:val="62853487"/>
    <w:rsid w:val="629A2E3D"/>
    <w:rsid w:val="62F33811"/>
    <w:rsid w:val="636E6E77"/>
    <w:rsid w:val="64C778A4"/>
    <w:rsid w:val="6547148C"/>
    <w:rsid w:val="655A023E"/>
    <w:rsid w:val="658F2CFF"/>
    <w:rsid w:val="65AA249C"/>
    <w:rsid w:val="65F231CD"/>
    <w:rsid w:val="66220A3C"/>
    <w:rsid w:val="663A49AB"/>
    <w:rsid w:val="66871782"/>
    <w:rsid w:val="66916E90"/>
    <w:rsid w:val="66975A93"/>
    <w:rsid w:val="67901E14"/>
    <w:rsid w:val="67A82623"/>
    <w:rsid w:val="68745E6E"/>
    <w:rsid w:val="687C4C06"/>
    <w:rsid w:val="68BB7B16"/>
    <w:rsid w:val="68C80AF6"/>
    <w:rsid w:val="69642392"/>
    <w:rsid w:val="696949F7"/>
    <w:rsid w:val="6995450F"/>
    <w:rsid w:val="69C06986"/>
    <w:rsid w:val="69E14478"/>
    <w:rsid w:val="6AE93CE0"/>
    <w:rsid w:val="6AEA5860"/>
    <w:rsid w:val="6B123825"/>
    <w:rsid w:val="6B1933AE"/>
    <w:rsid w:val="6B2C3A78"/>
    <w:rsid w:val="6B3053E3"/>
    <w:rsid w:val="6B6024B7"/>
    <w:rsid w:val="6B7642B3"/>
    <w:rsid w:val="6BE739B9"/>
    <w:rsid w:val="6BEC7A18"/>
    <w:rsid w:val="6BEF7A26"/>
    <w:rsid w:val="6BF43A5C"/>
    <w:rsid w:val="6BFD2673"/>
    <w:rsid w:val="6C1828ED"/>
    <w:rsid w:val="6C3C4FFE"/>
    <w:rsid w:val="6C3E4171"/>
    <w:rsid w:val="6C7849C8"/>
    <w:rsid w:val="6CE3610E"/>
    <w:rsid w:val="6D1E37C0"/>
    <w:rsid w:val="6D311FC2"/>
    <w:rsid w:val="6D352099"/>
    <w:rsid w:val="6D6A6C88"/>
    <w:rsid w:val="6DA8754F"/>
    <w:rsid w:val="6DD94B67"/>
    <w:rsid w:val="6E0613B9"/>
    <w:rsid w:val="6E27152B"/>
    <w:rsid w:val="6E627FFA"/>
    <w:rsid w:val="6ED14829"/>
    <w:rsid w:val="6EFE793F"/>
    <w:rsid w:val="6F024EAE"/>
    <w:rsid w:val="6F0E335C"/>
    <w:rsid w:val="6FA01B88"/>
    <w:rsid w:val="70E05BAC"/>
    <w:rsid w:val="71AC7DD7"/>
    <w:rsid w:val="71D7091D"/>
    <w:rsid w:val="721578C5"/>
    <w:rsid w:val="725E3727"/>
    <w:rsid w:val="72653100"/>
    <w:rsid w:val="72DF2D89"/>
    <w:rsid w:val="72EE25D2"/>
    <w:rsid w:val="734B2E71"/>
    <w:rsid w:val="735F35D2"/>
    <w:rsid w:val="736B177C"/>
    <w:rsid w:val="73A92663"/>
    <w:rsid w:val="73B87544"/>
    <w:rsid w:val="73BD7A32"/>
    <w:rsid w:val="73CB698F"/>
    <w:rsid w:val="73D06370"/>
    <w:rsid w:val="742A19D5"/>
    <w:rsid w:val="747720E6"/>
    <w:rsid w:val="749539B7"/>
    <w:rsid w:val="74A96A76"/>
    <w:rsid w:val="752158EE"/>
    <w:rsid w:val="75312387"/>
    <w:rsid w:val="75525E88"/>
    <w:rsid w:val="76635DB2"/>
    <w:rsid w:val="772A7F98"/>
    <w:rsid w:val="77806982"/>
    <w:rsid w:val="77C457EA"/>
    <w:rsid w:val="782D25A2"/>
    <w:rsid w:val="78FF56EB"/>
    <w:rsid w:val="7911357C"/>
    <w:rsid w:val="79181801"/>
    <w:rsid w:val="79427A62"/>
    <w:rsid w:val="797A5378"/>
    <w:rsid w:val="798E2C69"/>
    <w:rsid w:val="79C05568"/>
    <w:rsid w:val="7A1B59AC"/>
    <w:rsid w:val="7A342D30"/>
    <w:rsid w:val="7A503908"/>
    <w:rsid w:val="7AF5403D"/>
    <w:rsid w:val="7B030ADC"/>
    <w:rsid w:val="7B2F154C"/>
    <w:rsid w:val="7B3A2B92"/>
    <w:rsid w:val="7B87675B"/>
    <w:rsid w:val="7B970F3F"/>
    <w:rsid w:val="7C036DFE"/>
    <w:rsid w:val="7C047EB9"/>
    <w:rsid w:val="7C263B1B"/>
    <w:rsid w:val="7C337B35"/>
    <w:rsid w:val="7C501DE3"/>
    <w:rsid w:val="7C6B4793"/>
    <w:rsid w:val="7CBB6ED5"/>
    <w:rsid w:val="7CD90EED"/>
    <w:rsid w:val="7CFB486B"/>
    <w:rsid w:val="7D362963"/>
    <w:rsid w:val="7D8B2A5F"/>
    <w:rsid w:val="7DBC1C04"/>
    <w:rsid w:val="7DCD316B"/>
    <w:rsid w:val="7DFD1C4B"/>
    <w:rsid w:val="7E5A6F59"/>
    <w:rsid w:val="7E621459"/>
    <w:rsid w:val="7E75763F"/>
    <w:rsid w:val="7E775B1B"/>
    <w:rsid w:val="7F297259"/>
    <w:rsid w:val="7F827085"/>
    <w:rsid w:val="7FA31782"/>
    <w:rsid w:val="7FBE1C16"/>
    <w:rsid w:val="7FCC6D9A"/>
    <w:rsid w:val="7FFC3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黑体" w:cs="Times New Roman"/>
      <w:b/>
      <w:kern w:val="44"/>
      <w:sz w:val="30"/>
      <w:szCs w:val="48"/>
    </w:rPr>
  </w:style>
  <w:style w:type="paragraph" w:styleId="4">
    <w:name w:val="heading 2"/>
    <w:basedOn w:val="1"/>
    <w:next w:val="1"/>
    <w:link w:val="17"/>
    <w:unhideWhenUsed/>
    <w:qFormat/>
    <w:uiPriority w:val="0"/>
    <w:pPr>
      <w:keepNext/>
      <w:keepLines/>
      <w:spacing w:before="260" w:after="260" w:line="413" w:lineRule="auto"/>
      <w:outlineLvl w:val="1"/>
    </w:pPr>
    <w:rPr>
      <w:rFonts w:ascii="Arial" w:hAnsi="Arial" w:eastAsia="宋体"/>
      <w:b/>
      <w:sz w:val="28"/>
    </w:rPr>
  </w:style>
  <w:style w:type="paragraph" w:styleId="5">
    <w:name w:val="heading 3"/>
    <w:basedOn w:val="1"/>
    <w:next w:val="1"/>
    <w:link w:val="22"/>
    <w:unhideWhenUsed/>
    <w:qFormat/>
    <w:uiPriority w:val="0"/>
    <w:pPr>
      <w:keepNext/>
      <w:keepLines/>
      <w:jc w:val="left"/>
      <w:outlineLvl w:val="2"/>
    </w:pPr>
    <w:rPr>
      <w:b/>
      <w:sz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table of authorities1"/>
    <w:basedOn w:val="1"/>
    <w:next w:val="1"/>
    <w:qFormat/>
    <w:uiPriority w:val="0"/>
    <w:pPr>
      <w:ind w:left="420" w:leftChars="200"/>
    </w:pPr>
  </w:style>
  <w:style w:type="paragraph" w:styleId="6">
    <w:name w:val="annotation text"/>
    <w:basedOn w:val="1"/>
    <w:qFormat/>
    <w:uiPriority w:val="0"/>
    <w:pPr>
      <w:jc w:val="left"/>
    </w:pPr>
  </w:style>
  <w:style w:type="paragraph" w:styleId="7">
    <w:name w:val="toc 3"/>
    <w:basedOn w:val="1"/>
    <w:next w:val="1"/>
    <w:qFormat/>
    <w:uiPriority w:val="0"/>
    <w:pPr>
      <w:ind w:left="840" w:leftChars="4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styleId="12">
    <w:name w:val="Normal (Web)"/>
    <w:basedOn w:val="1"/>
    <w:qFormat/>
    <w:uiPriority w:val="0"/>
    <w:pPr>
      <w:spacing w:beforeAutospacing="1" w:afterAutospacing="1"/>
      <w:jc w:val="left"/>
    </w:pPr>
    <w:rPr>
      <w:rFonts w:cs="Times New Roman"/>
      <w:kern w:val="0"/>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qFormat/>
    <w:uiPriority w:val="0"/>
    <w:rPr>
      <w:color w:val="0000FF"/>
      <w:u w:val="single"/>
    </w:rPr>
  </w:style>
  <w:style w:type="character" w:customStyle="1" w:styleId="17">
    <w:name w:val="标题 2 字符"/>
    <w:link w:val="4"/>
    <w:qFormat/>
    <w:uiPriority w:val="0"/>
    <w:rPr>
      <w:rFonts w:ascii="Arial" w:hAnsi="Arial" w:eastAsia="宋体"/>
      <w:b/>
      <w:sz w:val="28"/>
    </w:rPr>
  </w:style>
  <w:style w:type="paragraph" w:customStyle="1" w:styleId="18">
    <w:name w:val="WPSOffice手动目录 1"/>
    <w:qFormat/>
    <w:uiPriority w:val="0"/>
    <w:rPr>
      <w:rFonts w:ascii="Times New Roman" w:hAnsi="Times New Roman" w:eastAsia="宋体" w:cs="Times New Roman"/>
      <w:lang w:val="en-US" w:eastAsia="zh-CN" w:bidi="ar-SA"/>
    </w:rPr>
  </w:style>
  <w:style w:type="paragraph" w:customStyle="1" w:styleId="19">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0">
    <w:name w:val="样式1"/>
    <w:basedOn w:val="5"/>
    <w:next w:val="1"/>
    <w:qFormat/>
    <w:uiPriority w:val="0"/>
  </w:style>
  <w:style w:type="paragraph" w:customStyle="1" w:styleId="21">
    <w:name w:val="WPSOffice手动目录 3"/>
    <w:qFormat/>
    <w:uiPriority w:val="0"/>
    <w:pPr>
      <w:ind w:left="400" w:leftChars="400"/>
    </w:pPr>
    <w:rPr>
      <w:rFonts w:ascii="Calibri" w:hAnsi="Calibri" w:eastAsia="宋体" w:cs="Times New Roman"/>
      <w:lang w:val="en-US" w:eastAsia="zh-CN" w:bidi="ar-SA"/>
    </w:rPr>
  </w:style>
  <w:style w:type="character" w:customStyle="1" w:styleId="22">
    <w:name w:val="标题 3 字符"/>
    <w:link w:val="5"/>
    <w:qFormat/>
    <w:uiPriority w:val="0"/>
    <w:rPr>
      <w:rFonts w:asciiTheme="minorHAnsi" w:hAnsiTheme="minorHAnsi"/>
      <w:b/>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3115</Words>
  <Characters>17762</Characters>
  <Lines>148</Lines>
  <Paragraphs>41</Paragraphs>
  <TotalTime>1</TotalTime>
  <ScaleCrop>false</ScaleCrop>
  <LinksUpToDate>false</LinksUpToDate>
  <CharactersWithSpaces>20836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2021-11-21T13:01:00Z</dcterms:created>
  <dc:creator>201</dc:creator>
  <cp:lastModifiedBy>Administrator</cp:lastModifiedBy>
  <cp:lastPrinted>2021-11-30T01:49:00Z</cp:lastPrinted>
  <dcterms:modified xsi:type="dcterms:W3CDTF">2022-01-04T10:37:46Z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40DC47F59163471184D641F133E6279D</vt:lpwstr>
  </property>
</Properties>
</file>