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eastAsia"/>
          <w:sz w:val="48"/>
          <w:szCs w:val="52"/>
        </w:rPr>
      </w:pPr>
    </w:p>
    <w:p>
      <w:pPr>
        <w:ind w:firstLine="0" w:firstLineChars="0"/>
        <w:jc w:val="both"/>
        <w:rPr>
          <w:sz w:val="48"/>
          <w:szCs w:val="52"/>
        </w:rPr>
      </w:pPr>
    </w:p>
    <w:p>
      <w:pPr>
        <w:ind w:firstLine="0" w:firstLineChars="0"/>
        <w:jc w:val="both"/>
        <w:rPr>
          <w:sz w:val="48"/>
          <w:szCs w:val="52"/>
        </w:rPr>
      </w:pPr>
    </w:p>
    <w:p>
      <w:pPr>
        <w:ind w:firstLine="0" w:firstLineChars="0"/>
        <w:jc w:val="both"/>
        <w:rPr>
          <w:sz w:val="48"/>
          <w:szCs w:val="52"/>
        </w:rPr>
      </w:pPr>
    </w:p>
    <w:p>
      <w:pPr>
        <w:ind w:firstLine="0" w:firstLineChars="0"/>
        <w:jc w:val="both"/>
        <w:rPr>
          <w:sz w:val="48"/>
          <w:szCs w:val="52"/>
        </w:rPr>
      </w:pPr>
    </w:p>
    <w:p>
      <w:pPr>
        <w:ind w:firstLine="0" w:firstLineChars="0"/>
        <w:jc w:val="both"/>
        <w:rPr>
          <w:sz w:val="48"/>
          <w:szCs w:val="52"/>
        </w:rPr>
      </w:pPr>
    </w:p>
    <w:p>
      <w:pPr>
        <w:ind w:firstLine="0" w:firstLineChars="0"/>
        <w:rPr>
          <w:sz w:val="48"/>
          <w:szCs w:val="52"/>
        </w:rPr>
      </w:pPr>
    </w:p>
    <w:p>
      <w:pPr>
        <w:autoSpaceDE/>
        <w:autoSpaceDN/>
        <w:adjustRightInd/>
        <w:spacing w:line="360" w:lineRule="auto"/>
        <w:ind w:firstLine="0" w:firstLineChars="0"/>
        <w:jc w:val="center"/>
        <w:rPr>
          <w:rFonts w:ascii="方正小标宋简体" w:hAnsi="Times New Roman" w:eastAsia="方正小标宋简体"/>
          <w:kern w:val="2"/>
          <w:sz w:val="44"/>
          <w:szCs w:val="44"/>
          <w:lang w:val="en-US"/>
        </w:rPr>
      </w:pPr>
      <w:r>
        <w:rPr>
          <w:rFonts w:hint="eastAsia" w:ascii="方正小标宋简体" w:hAnsi="Times New Roman" w:eastAsia="方正小标宋简体"/>
          <w:kern w:val="2"/>
          <w:sz w:val="44"/>
          <w:szCs w:val="44"/>
          <w:lang w:val="en-US"/>
        </w:rPr>
        <w:t>滁州市“十四五”消防救援事业发展规划</w:t>
      </w:r>
    </w:p>
    <w:p>
      <w:pPr>
        <w:autoSpaceDE/>
        <w:autoSpaceDN/>
        <w:adjustRightInd/>
        <w:spacing w:line="360" w:lineRule="auto"/>
        <w:ind w:firstLine="0" w:firstLineChars="0"/>
        <w:jc w:val="center"/>
        <w:rPr>
          <w:rFonts w:ascii="方正小标宋简体" w:hAnsi="Times New Roman" w:eastAsia="方正小标宋简体"/>
          <w:kern w:val="2"/>
          <w:sz w:val="44"/>
          <w:szCs w:val="44"/>
          <w:lang w:val="en-US"/>
        </w:rPr>
      </w:pPr>
      <w:r>
        <w:rPr>
          <w:rFonts w:hint="eastAsia" w:ascii="方正小标宋简体" w:hAnsi="Times New Roman" w:eastAsia="方正小标宋简体"/>
          <w:kern w:val="2"/>
          <w:sz w:val="44"/>
          <w:szCs w:val="44"/>
          <w:lang w:val="en-US"/>
        </w:rPr>
        <w:t>（2</w:t>
      </w:r>
      <w:r>
        <w:rPr>
          <w:rFonts w:ascii="方正小标宋简体" w:hAnsi="Times New Roman" w:eastAsia="方正小标宋简体"/>
          <w:kern w:val="2"/>
          <w:sz w:val="44"/>
          <w:szCs w:val="44"/>
          <w:lang w:val="en-US"/>
        </w:rPr>
        <w:t>021</w:t>
      </w:r>
      <w:r>
        <w:rPr>
          <w:rFonts w:hint="eastAsia" w:ascii="方正小标宋简体" w:hAnsi="Times New Roman" w:eastAsia="方正小标宋简体"/>
          <w:kern w:val="2"/>
          <w:sz w:val="44"/>
          <w:szCs w:val="44"/>
          <w:lang w:val="en-US"/>
        </w:rPr>
        <w:t>－2</w:t>
      </w:r>
      <w:r>
        <w:rPr>
          <w:rFonts w:ascii="方正小标宋简体" w:hAnsi="Times New Roman" w:eastAsia="方正小标宋简体"/>
          <w:kern w:val="2"/>
          <w:sz w:val="44"/>
          <w:szCs w:val="44"/>
          <w:lang w:val="en-US"/>
        </w:rPr>
        <w:t>025</w:t>
      </w:r>
      <w:r>
        <w:rPr>
          <w:rFonts w:hint="eastAsia" w:ascii="方正小标宋简体" w:hAnsi="Times New Roman" w:eastAsia="方正小标宋简体"/>
          <w:kern w:val="2"/>
          <w:sz w:val="44"/>
          <w:szCs w:val="44"/>
          <w:lang w:val="en-US"/>
        </w:rPr>
        <w:t>年）</w:t>
      </w:r>
    </w:p>
    <w:p>
      <w:pPr>
        <w:autoSpaceDE/>
        <w:autoSpaceDN/>
        <w:adjustRightInd/>
        <w:spacing w:line="360" w:lineRule="auto"/>
        <w:ind w:firstLine="0" w:firstLineChars="0"/>
        <w:jc w:val="center"/>
        <w:rPr>
          <w:rFonts w:ascii="方正小标宋简体" w:hAnsi="Times New Roman" w:eastAsia="方正小标宋简体"/>
          <w:kern w:val="2"/>
          <w:sz w:val="44"/>
          <w:szCs w:val="44"/>
          <w:lang w:val="en-US"/>
        </w:rPr>
      </w:pPr>
    </w:p>
    <w:p>
      <w:pPr>
        <w:ind w:firstLine="0" w:firstLineChars="0"/>
        <w:jc w:val="center"/>
        <w:rPr>
          <w:sz w:val="48"/>
          <w:szCs w:val="52"/>
        </w:rPr>
      </w:pPr>
    </w:p>
    <w:p>
      <w:pPr>
        <w:ind w:firstLine="0" w:firstLineChars="0"/>
        <w:jc w:val="center"/>
        <w:rPr>
          <w:sz w:val="48"/>
          <w:szCs w:val="52"/>
        </w:rPr>
      </w:pPr>
    </w:p>
    <w:p>
      <w:pPr>
        <w:ind w:firstLine="0" w:firstLineChars="0"/>
        <w:jc w:val="center"/>
        <w:rPr>
          <w:sz w:val="48"/>
          <w:szCs w:val="52"/>
        </w:rPr>
      </w:pPr>
    </w:p>
    <w:p>
      <w:pPr>
        <w:ind w:firstLine="0" w:firstLineChars="0"/>
        <w:jc w:val="center"/>
        <w:rPr>
          <w:sz w:val="48"/>
          <w:szCs w:val="52"/>
        </w:rPr>
      </w:pPr>
    </w:p>
    <w:p>
      <w:pPr>
        <w:ind w:firstLine="0" w:firstLineChars="0"/>
        <w:jc w:val="center"/>
        <w:rPr>
          <w:sz w:val="48"/>
          <w:szCs w:val="52"/>
        </w:rPr>
      </w:pPr>
    </w:p>
    <w:p>
      <w:pPr>
        <w:ind w:firstLine="0" w:firstLineChars="0"/>
        <w:jc w:val="center"/>
        <w:rPr>
          <w:sz w:val="48"/>
          <w:szCs w:val="52"/>
        </w:rPr>
      </w:pPr>
    </w:p>
    <w:p>
      <w:pPr>
        <w:ind w:firstLine="0" w:firstLineChars="0"/>
        <w:jc w:val="center"/>
        <w:rPr>
          <w:sz w:val="48"/>
          <w:szCs w:val="52"/>
        </w:rPr>
      </w:pPr>
    </w:p>
    <w:p>
      <w:pPr>
        <w:ind w:firstLine="0" w:firstLineChars="0"/>
        <w:jc w:val="center"/>
        <w:rPr>
          <w:rFonts w:ascii="楷体" w:hAnsi="楷体" w:eastAsia="楷体"/>
          <w:sz w:val="36"/>
          <w:szCs w:val="52"/>
        </w:rPr>
      </w:pPr>
      <w:r>
        <w:rPr>
          <w:rFonts w:hint="eastAsia" w:ascii="楷体" w:hAnsi="楷体" w:eastAsia="楷体"/>
          <w:sz w:val="36"/>
          <w:szCs w:val="52"/>
        </w:rPr>
        <w:t>二〇二一年十一月</w:t>
      </w:r>
    </w:p>
    <w:p>
      <w:pPr>
        <w:pStyle w:val="2"/>
        <w:ind w:left="560" w:firstLine="560"/>
      </w:pPr>
      <w:r>
        <w:br w:type="page"/>
      </w:r>
    </w:p>
    <w:p>
      <w:pPr>
        <w:ind w:firstLine="0" w:firstLineChars="0"/>
        <w:jc w:val="center"/>
        <w:rPr>
          <w:rFonts w:ascii="楷体" w:hAnsi="楷体" w:eastAsia="楷体"/>
          <w:sz w:val="36"/>
          <w:szCs w:val="52"/>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283" w:footer="850" w:gutter="0"/>
          <w:cols w:space="425" w:num="1"/>
          <w:docGrid w:linePitch="381" w:charSpace="0"/>
        </w:sectPr>
      </w:pPr>
    </w:p>
    <w:sdt>
      <w:sdtPr>
        <w:rPr>
          <w:rFonts w:ascii="等线" w:hAnsi="等线" w:eastAsia="等线" w:cs="黑体"/>
          <w:bCs/>
          <w:color w:val="000000" w:themeColor="text1"/>
          <w:szCs w:val="28"/>
          <w:lang w:val="en-US"/>
          <w14:textFill>
            <w14:solidFill>
              <w14:schemeClr w14:val="tx1"/>
            </w14:solidFill>
          </w14:textFill>
        </w:rPr>
        <w:id w:val="147474501"/>
        <w15:color w:val="DBDBDB"/>
        <w:docPartObj>
          <w:docPartGallery w:val="Table of Contents"/>
          <w:docPartUnique/>
        </w:docPartObj>
      </w:sdtPr>
      <w:sdtEndPr>
        <w:rPr>
          <w:rFonts w:ascii="等线" w:hAnsi="等线" w:eastAsia="等线" w:cs="黑体"/>
          <w:bCs/>
          <w:color w:val="000000" w:themeColor="text1"/>
          <w:szCs w:val="28"/>
          <w:lang w:val="en-US"/>
          <w14:textFill>
            <w14:solidFill>
              <w14:schemeClr w14:val="tx1"/>
            </w14:solidFill>
          </w14:textFill>
        </w:rPr>
      </w:sdtEndPr>
      <w:sdtContent>
        <w:p>
          <w:pPr>
            <w:spacing w:line="276" w:lineRule="auto"/>
            <w:ind w:firstLine="0" w:firstLineChars="0"/>
            <w:jc w:val="center"/>
            <w:rPr>
              <w:rFonts w:ascii="等线" w:hAnsi="等线" w:eastAsia="等线"/>
              <w:bCs/>
              <w:szCs w:val="28"/>
            </w:rPr>
          </w:pPr>
          <w:bookmarkStart w:id="0" w:name="_Toc54690452"/>
          <w:bookmarkStart w:id="1" w:name="_Toc57646654"/>
          <w:r>
            <w:rPr>
              <w:rFonts w:ascii="等线" w:hAnsi="等线" w:eastAsia="等线"/>
              <w:bCs/>
              <w:szCs w:val="28"/>
            </w:rPr>
            <w:t>目录</w:t>
          </w:r>
        </w:p>
        <w:p>
          <w:pPr>
            <w:pStyle w:val="21"/>
            <w:rPr>
              <w:rFonts w:asciiTheme="minorHAnsi" w:hAnsiTheme="minorHAnsi" w:cstheme="minorBidi"/>
              <w:color w:val="auto"/>
              <w:kern w:val="2"/>
              <w:shd w:val="clear" w:color="auto" w:fill="auto"/>
            </w:rPr>
          </w:pPr>
          <w:r>
            <w:rPr>
              <w:rFonts w:ascii="等线" w:hAnsi="等线" w:eastAsia="等线" w:cstheme="minorBidi"/>
              <w:color w:val="auto"/>
              <w:shd w:val="clear" w:color="auto" w:fill="auto"/>
            </w:rPr>
            <w:fldChar w:fldCharType="begin"/>
          </w:r>
          <w:r>
            <w:rPr>
              <w:rFonts w:ascii="等线" w:hAnsi="等线" w:eastAsia="等线"/>
              <w:shd w:val="clear" w:color="auto" w:fill="auto"/>
            </w:rPr>
            <w:instrText xml:space="preserve">TOC \o "1-2" \h \u </w:instrText>
          </w:r>
          <w:r>
            <w:rPr>
              <w:rFonts w:ascii="等线" w:hAnsi="等线" w:eastAsia="等线" w:cstheme="minorBidi"/>
              <w:color w:val="auto"/>
              <w:shd w:val="clear" w:color="auto" w:fill="auto"/>
            </w:rPr>
            <w:fldChar w:fldCharType="separate"/>
          </w:r>
          <w:r>
            <w:fldChar w:fldCharType="begin"/>
          </w:r>
          <w:r>
            <w:instrText xml:space="preserve"> HYPERLINK \l "_Toc89958953" </w:instrText>
          </w:r>
          <w:r>
            <w:fldChar w:fldCharType="separate"/>
          </w:r>
          <w:r>
            <w:rPr>
              <w:rStyle w:val="33"/>
              <w:rFonts w:ascii="Times New Roman" w:hAnsi="Times New Roman" w:eastAsia="方正小标宋简体"/>
              <w:spacing w:val="-11"/>
              <w:kern w:val="36"/>
              <w:shd w:val="clear" w:color="auto" w:fill="auto"/>
            </w:rPr>
            <w:t>第一章  规划背景</w:t>
          </w:r>
          <w:r>
            <w:rPr>
              <w:shd w:val="clear" w:color="auto" w:fill="auto"/>
            </w:rPr>
            <w:tab/>
          </w:r>
          <w:r>
            <w:rPr>
              <w:shd w:val="clear" w:color="auto" w:fill="auto"/>
            </w:rPr>
            <w:fldChar w:fldCharType="begin"/>
          </w:r>
          <w:r>
            <w:rPr>
              <w:shd w:val="clear" w:color="auto" w:fill="auto"/>
            </w:rPr>
            <w:instrText xml:space="preserve"> PAGEREF _Toc89958953 \h </w:instrText>
          </w:r>
          <w:r>
            <w:rPr>
              <w:shd w:val="clear" w:color="auto" w:fill="auto"/>
            </w:rPr>
            <w:fldChar w:fldCharType="separate"/>
          </w:r>
          <w:r>
            <w:rPr>
              <w:shd w:val="clear" w:color="auto" w:fill="auto"/>
            </w:rPr>
            <w:t>1</w:t>
          </w:r>
          <w:r>
            <w:rPr>
              <w:shd w:val="clear" w:color="auto" w:fill="auto"/>
            </w:rPr>
            <w:fldChar w:fldCharType="end"/>
          </w:r>
          <w:r>
            <w:rPr>
              <w:shd w:val="clear" w:color="auto" w:fill="auto"/>
            </w:rPr>
            <w:fldChar w:fldCharType="end"/>
          </w:r>
        </w:p>
        <w:p>
          <w:pPr>
            <w:pStyle w:val="24"/>
            <w:rPr>
              <w:bCs/>
              <w:kern w:val="2"/>
              <w:sz w:val="28"/>
              <w:szCs w:val="28"/>
            </w:rPr>
          </w:pPr>
          <w:r>
            <w:fldChar w:fldCharType="begin"/>
          </w:r>
          <w:r>
            <w:instrText xml:space="preserve"> HYPERLINK \l "_Toc89958954" </w:instrText>
          </w:r>
          <w:r>
            <w:fldChar w:fldCharType="separate"/>
          </w:r>
          <w:r>
            <w:rPr>
              <w:rStyle w:val="33"/>
              <w:rFonts w:ascii="黑体" w:hAnsi="黑体" w:eastAsia="黑体" w:cs="仿宋"/>
              <w:bCs/>
              <w:sz w:val="28"/>
              <w:szCs w:val="28"/>
            </w:rPr>
            <w:t>一、“十三五”时期消防救援事业发展取得的主要成绩</w:t>
          </w:r>
          <w:r>
            <w:rPr>
              <w:bCs/>
              <w:sz w:val="28"/>
              <w:szCs w:val="28"/>
            </w:rPr>
            <w:tab/>
          </w:r>
          <w:r>
            <w:rPr>
              <w:bCs/>
              <w:sz w:val="28"/>
              <w:szCs w:val="28"/>
            </w:rPr>
            <w:fldChar w:fldCharType="begin"/>
          </w:r>
          <w:r>
            <w:rPr>
              <w:bCs/>
              <w:sz w:val="28"/>
              <w:szCs w:val="28"/>
            </w:rPr>
            <w:instrText xml:space="preserve"> PAGEREF _Toc89958954 \h </w:instrText>
          </w:r>
          <w:r>
            <w:rPr>
              <w:bCs/>
              <w:sz w:val="28"/>
              <w:szCs w:val="28"/>
            </w:rPr>
            <w:fldChar w:fldCharType="separate"/>
          </w:r>
          <w:r>
            <w:rPr>
              <w:bCs/>
              <w:sz w:val="28"/>
              <w:szCs w:val="28"/>
            </w:rPr>
            <w:t>1</w:t>
          </w:r>
          <w:r>
            <w:rPr>
              <w:bCs/>
              <w:sz w:val="28"/>
              <w:szCs w:val="28"/>
            </w:rPr>
            <w:fldChar w:fldCharType="end"/>
          </w:r>
          <w:r>
            <w:rPr>
              <w:bCs/>
              <w:sz w:val="28"/>
              <w:szCs w:val="28"/>
            </w:rPr>
            <w:fldChar w:fldCharType="end"/>
          </w:r>
        </w:p>
        <w:p>
          <w:pPr>
            <w:pStyle w:val="24"/>
            <w:rPr>
              <w:bCs/>
              <w:kern w:val="2"/>
              <w:sz w:val="28"/>
              <w:szCs w:val="28"/>
            </w:rPr>
          </w:pPr>
          <w:r>
            <w:fldChar w:fldCharType="begin"/>
          </w:r>
          <w:r>
            <w:instrText xml:space="preserve"> HYPERLINK \l "_Toc89958955" </w:instrText>
          </w:r>
          <w:r>
            <w:fldChar w:fldCharType="separate"/>
          </w:r>
          <w:r>
            <w:rPr>
              <w:rStyle w:val="33"/>
              <w:rFonts w:ascii="黑体" w:hAnsi="黑体" w:eastAsia="黑体" w:cs="黑体"/>
              <w:bCs/>
              <w:sz w:val="28"/>
              <w:szCs w:val="28"/>
            </w:rPr>
            <w:t>二、“十三五”时期消防救援事业发展存在的主要问题</w:t>
          </w:r>
          <w:r>
            <w:rPr>
              <w:bCs/>
              <w:sz w:val="28"/>
              <w:szCs w:val="28"/>
            </w:rPr>
            <w:tab/>
          </w:r>
          <w:r>
            <w:rPr>
              <w:bCs/>
              <w:sz w:val="28"/>
              <w:szCs w:val="28"/>
            </w:rPr>
            <w:fldChar w:fldCharType="begin"/>
          </w:r>
          <w:r>
            <w:rPr>
              <w:bCs/>
              <w:sz w:val="28"/>
              <w:szCs w:val="28"/>
            </w:rPr>
            <w:instrText xml:space="preserve"> PAGEREF _Toc89958955 \h </w:instrText>
          </w:r>
          <w:r>
            <w:rPr>
              <w:bCs/>
              <w:sz w:val="28"/>
              <w:szCs w:val="28"/>
            </w:rPr>
            <w:fldChar w:fldCharType="separate"/>
          </w:r>
          <w:r>
            <w:rPr>
              <w:bCs/>
              <w:sz w:val="28"/>
              <w:szCs w:val="28"/>
            </w:rPr>
            <w:t>5</w:t>
          </w:r>
          <w:r>
            <w:rPr>
              <w:bCs/>
              <w:sz w:val="28"/>
              <w:szCs w:val="28"/>
            </w:rPr>
            <w:fldChar w:fldCharType="end"/>
          </w:r>
          <w:r>
            <w:rPr>
              <w:bCs/>
              <w:sz w:val="28"/>
              <w:szCs w:val="28"/>
            </w:rPr>
            <w:fldChar w:fldCharType="end"/>
          </w:r>
        </w:p>
        <w:p>
          <w:pPr>
            <w:pStyle w:val="24"/>
            <w:rPr>
              <w:bCs/>
              <w:kern w:val="2"/>
              <w:sz w:val="28"/>
              <w:szCs w:val="28"/>
            </w:rPr>
          </w:pPr>
          <w:r>
            <w:fldChar w:fldCharType="begin"/>
          </w:r>
          <w:r>
            <w:instrText xml:space="preserve"> HYPERLINK \l "_Toc89958956" </w:instrText>
          </w:r>
          <w:r>
            <w:fldChar w:fldCharType="separate"/>
          </w:r>
          <w:r>
            <w:rPr>
              <w:rStyle w:val="33"/>
              <w:rFonts w:ascii="黑体" w:hAnsi="黑体" w:eastAsia="黑体"/>
              <w:bCs/>
              <w:sz w:val="28"/>
              <w:szCs w:val="28"/>
            </w:rPr>
            <w:t>三、“十四五”时期消防救援事业发展面临的形势</w:t>
          </w:r>
          <w:r>
            <w:rPr>
              <w:bCs/>
              <w:sz w:val="28"/>
              <w:szCs w:val="28"/>
            </w:rPr>
            <w:tab/>
          </w:r>
          <w:r>
            <w:rPr>
              <w:bCs/>
              <w:sz w:val="28"/>
              <w:szCs w:val="28"/>
            </w:rPr>
            <w:fldChar w:fldCharType="begin"/>
          </w:r>
          <w:r>
            <w:rPr>
              <w:bCs/>
              <w:sz w:val="28"/>
              <w:szCs w:val="28"/>
            </w:rPr>
            <w:instrText xml:space="preserve"> PAGEREF _Toc89958956 \h </w:instrText>
          </w:r>
          <w:r>
            <w:rPr>
              <w:bCs/>
              <w:sz w:val="28"/>
              <w:szCs w:val="28"/>
            </w:rPr>
            <w:fldChar w:fldCharType="separate"/>
          </w:r>
          <w:r>
            <w:rPr>
              <w:bCs/>
              <w:sz w:val="28"/>
              <w:szCs w:val="28"/>
            </w:rPr>
            <w:t>9</w:t>
          </w:r>
          <w:r>
            <w:rPr>
              <w:bCs/>
              <w:sz w:val="28"/>
              <w:szCs w:val="28"/>
            </w:rPr>
            <w:fldChar w:fldCharType="end"/>
          </w:r>
          <w:r>
            <w:rPr>
              <w:bCs/>
              <w:sz w:val="28"/>
              <w:szCs w:val="28"/>
            </w:rPr>
            <w:fldChar w:fldCharType="end"/>
          </w:r>
        </w:p>
        <w:p>
          <w:pPr>
            <w:pStyle w:val="21"/>
            <w:rPr>
              <w:rFonts w:asciiTheme="minorHAnsi" w:hAnsiTheme="minorHAnsi" w:cstheme="minorBidi"/>
              <w:color w:val="auto"/>
              <w:kern w:val="2"/>
              <w:shd w:val="clear" w:color="auto" w:fill="auto"/>
            </w:rPr>
          </w:pPr>
          <w:r>
            <w:fldChar w:fldCharType="begin"/>
          </w:r>
          <w:r>
            <w:instrText xml:space="preserve"> HYPERLINK \l "_Toc89958957" </w:instrText>
          </w:r>
          <w:r>
            <w:fldChar w:fldCharType="separate"/>
          </w:r>
          <w:r>
            <w:rPr>
              <w:rStyle w:val="33"/>
              <w:rFonts w:ascii="Times New Roman" w:hAnsi="Times New Roman" w:eastAsia="方正小标宋简体"/>
              <w:spacing w:val="-11"/>
              <w:kern w:val="36"/>
              <w:shd w:val="clear" w:color="auto" w:fill="auto"/>
            </w:rPr>
            <w:t>第二章  指导思想、发展原则和主要目标</w:t>
          </w:r>
          <w:r>
            <w:rPr>
              <w:shd w:val="clear" w:color="auto" w:fill="auto"/>
            </w:rPr>
            <w:tab/>
          </w:r>
          <w:r>
            <w:rPr>
              <w:shd w:val="clear" w:color="auto" w:fill="auto"/>
            </w:rPr>
            <w:fldChar w:fldCharType="begin"/>
          </w:r>
          <w:r>
            <w:rPr>
              <w:shd w:val="clear" w:color="auto" w:fill="auto"/>
            </w:rPr>
            <w:instrText xml:space="preserve"> PAGEREF _Toc89958957 \h </w:instrText>
          </w:r>
          <w:r>
            <w:rPr>
              <w:shd w:val="clear" w:color="auto" w:fill="auto"/>
            </w:rPr>
            <w:fldChar w:fldCharType="separate"/>
          </w:r>
          <w:r>
            <w:rPr>
              <w:shd w:val="clear" w:color="auto" w:fill="auto"/>
            </w:rPr>
            <w:t>14</w:t>
          </w:r>
          <w:r>
            <w:rPr>
              <w:shd w:val="clear" w:color="auto" w:fill="auto"/>
            </w:rPr>
            <w:fldChar w:fldCharType="end"/>
          </w:r>
          <w:r>
            <w:rPr>
              <w:shd w:val="clear" w:color="auto" w:fill="auto"/>
            </w:rPr>
            <w:fldChar w:fldCharType="end"/>
          </w:r>
        </w:p>
        <w:p>
          <w:pPr>
            <w:pStyle w:val="24"/>
            <w:rPr>
              <w:bCs/>
              <w:kern w:val="2"/>
              <w:sz w:val="28"/>
              <w:szCs w:val="28"/>
            </w:rPr>
          </w:pPr>
          <w:r>
            <w:fldChar w:fldCharType="begin"/>
          </w:r>
          <w:r>
            <w:instrText xml:space="preserve"> HYPERLINK \l "_Toc89958958" </w:instrText>
          </w:r>
          <w:r>
            <w:fldChar w:fldCharType="separate"/>
          </w:r>
          <w:r>
            <w:rPr>
              <w:rStyle w:val="33"/>
              <w:rFonts w:ascii="黑体" w:hAnsi="黑体" w:eastAsia="黑体" w:cs="仿宋"/>
              <w:bCs/>
              <w:sz w:val="28"/>
              <w:szCs w:val="28"/>
            </w:rPr>
            <w:t>一、指导思想</w:t>
          </w:r>
          <w:r>
            <w:rPr>
              <w:bCs/>
              <w:sz w:val="28"/>
              <w:szCs w:val="28"/>
            </w:rPr>
            <w:tab/>
          </w:r>
          <w:r>
            <w:rPr>
              <w:bCs/>
              <w:sz w:val="28"/>
              <w:szCs w:val="28"/>
            </w:rPr>
            <w:fldChar w:fldCharType="begin"/>
          </w:r>
          <w:r>
            <w:rPr>
              <w:bCs/>
              <w:sz w:val="28"/>
              <w:szCs w:val="28"/>
            </w:rPr>
            <w:instrText xml:space="preserve"> PAGEREF _Toc89958958 \h </w:instrText>
          </w:r>
          <w:r>
            <w:rPr>
              <w:bCs/>
              <w:sz w:val="28"/>
              <w:szCs w:val="28"/>
            </w:rPr>
            <w:fldChar w:fldCharType="separate"/>
          </w:r>
          <w:r>
            <w:rPr>
              <w:bCs/>
              <w:sz w:val="28"/>
              <w:szCs w:val="28"/>
            </w:rPr>
            <w:t>14</w:t>
          </w:r>
          <w:r>
            <w:rPr>
              <w:bCs/>
              <w:sz w:val="28"/>
              <w:szCs w:val="28"/>
            </w:rPr>
            <w:fldChar w:fldCharType="end"/>
          </w:r>
          <w:r>
            <w:rPr>
              <w:bCs/>
              <w:sz w:val="28"/>
              <w:szCs w:val="28"/>
            </w:rPr>
            <w:fldChar w:fldCharType="end"/>
          </w:r>
        </w:p>
        <w:p>
          <w:pPr>
            <w:pStyle w:val="24"/>
            <w:rPr>
              <w:bCs/>
              <w:kern w:val="2"/>
              <w:sz w:val="28"/>
              <w:szCs w:val="28"/>
            </w:rPr>
          </w:pPr>
          <w:r>
            <w:fldChar w:fldCharType="begin"/>
          </w:r>
          <w:r>
            <w:instrText xml:space="preserve"> HYPERLINK \l "_Toc89958959" </w:instrText>
          </w:r>
          <w:r>
            <w:fldChar w:fldCharType="separate"/>
          </w:r>
          <w:r>
            <w:rPr>
              <w:rStyle w:val="33"/>
              <w:rFonts w:ascii="黑体" w:hAnsi="黑体" w:eastAsia="黑体" w:cs="仿宋"/>
              <w:bCs/>
              <w:sz w:val="28"/>
              <w:szCs w:val="28"/>
            </w:rPr>
            <w:t>二、发展原则</w:t>
          </w:r>
          <w:r>
            <w:rPr>
              <w:bCs/>
              <w:sz w:val="28"/>
              <w:szCs w:val="28"/>
            </w:rPr>
            <w:tab/>
          </w:r>
          <w:r>
            <w:rPr>
              <w:bCs/>
              <w:sz w:val="28"/>
              <w:szCs w:val="28"/>
            </w:rPr>
            <w:fldChar w:fldCharType="begin"/>
          </w:r>
          <w:r>
            <w:rPr>
              <w:bCs/>
              <w:sz w:val="28"/>
              <w:szCs w:val="28"/>
            </w:rPr>
            <w:instrText xml:space="preserve"> PAGEREF _Toc89958959 \h </w:instrText>
          </w:r>
          <w:r>
            <w:rPr>
              <w:bCs/>
              <w:sz w:val="28"/>
              <w:szCs w:val="28"/>
            </w:rPr>
            <w:fldChar w:fldCharType="separate"/>
          </w:r>
          <w:r>
            <w:rPr>
              <w:bCs/>
              <w:sz w:val="28"/>
              <w:szCs w:val="28"/>
            </w:rPr>
            <w:t>14</w:t>
          </w:r>
          <w:r>
            <w:rPr>
              <w:bCs/>
              <w:sz w:val="28"/>
              <w:szCs w:val="28"/>
            </w:rPr>
            <w:fldChar w:fldCharType="end"/>
          </w:r>
          <w:r>
            <w:rPr>
              <w:bCs/>
              <w:sz w:val="28"/>
              <w:szCs w:val="28"/>
            </w:rPr>
            <w:fldChar w:fldCharType="end"/>
          </w:r>
        </w:p>
        <w:p>
          <w:pPr>
            <w:pStyle w:val="24"/>
            <w:rPr>
              <w:bCs/>
              <w:kern w:val="2"/>
              <w:sz w:val="28"/>
              <w:szCs w:val="28"/>
            </w:rPr>
          </w:pPr>
          <w:r>
            <w:fldChar w:fldCharType="begin"/>
          </w:r>
          <w:r>
            <w:instrText xml:space="preserve"> HYPERLINK \l "_Toc89958960" </w:instrText>
          </w:r>
          <w:r>
            <w:fldChar w:fldCharType="separate"/>
          </w:r>
          <w:r>
            <w:rPr>
              <w:rStyle w:val="33"/>
              <w:rFonts w:ascii="黑体" w:hAnsi="黑体" w:eastAsia="黑体" w:cs="仿宋"/>
              <w:bCs/>
              <w:sz w:val="28"/>
              <w:szCs w:val="28"/>
            </w:rPr>
            <w:t>三、主要目标</w:t>
          </w:r>
          <w:r>
            <w:rPr>
              <w:bCs/>
              <w:sz w:val="28"/>
              <w:szCs w:val="28"/>
            </w:rPr>
            <w:tab/>
          </w:r>
          <w:r>
            <w:rPr>
              <w:bCs/>
              <w:sz w:val="28"/>
              <w:szCs w:val="28"/>
            </w:rPr>
            <w:fldChar w:fldCharType="begin"/>
          </w:r>
          <w:r>
            <w:rPr>
              <w:bCs/>
              <w:sz w:val="28"/>
              <w:szCs w:val="28"/>
            </w:rPr>
            <w:instrText xml:space="preserve"> PAGEREF _Toc89958960 \h </w:instrText>
          </w:r>
          <w:r>
            <w:rPr>
              <w:bCs/>
              <w:sz w:val="28"/>
              <w:szCs w:val="28"/>
            </w:rPr>
            <w:fldChar w:fldCharType="separate"/>
          </w:r>
          <w:r>
            <w:rPr>
              <w:bCs/>
              <w:sz w:val="28"/>
              <w:szCs w:val="28"/>
            </w:rPr>
            <w:t>16</w:t>
          </w:r>
          <w:r>
            <w:rPr>
              <w:bCs/>
              <w:sz w:val="28"/>
              <w:szCs w:val="28"/>
            </w:rPr>
            <w:fldChar w:fldCharType="end"/>
          </w:r>
          <w:r>
            <w:rPr>
              <w:bCs/>
              <w:sz w:val="28"/>
              <w:szCs w:val="28"/>
            </w:rPr>
            <w:fldChar w:fldCharType="end"/>
          </w:r>
        </w:p>
        <w:p>
          <w:pPr>
            <w:pStyle w:val="21"/>
            <w:rPr>
              <w:rFonts w:asciiTheme="minorHAnsi" w:hAnsiTheme="minorHAnsi" w:cstheme="minorBidi"/>
              <w:color w:val="auto"/>
              <w:kern w:val="2"/>
              <w:shd w:val="clear" w:color="auto" w:fill="auto"/>
            </w:rPr>
          </w:pPr>
          <w:r>
            <w:fldChar w:fldCharType="begin"/>
          </w:r>
          <w:r>
            <w:instrText xml:space="preserve"> HYPERLINK \l "_Toc89958961" </w:instrText>
          </w:r>
          <w:r>
            <w:fldChar w:fldCharType="separate"/>
          </w:r>
          <w:r>
            <w:rPr>
              <w:rStyle w:val="33"/>
              <w:rFonts w:ascii="Times New Roman" w:hAnsi="Times New Roman" w:eastAsia="方正小标宋简体"/>
              <w:spacing w:val="-11"/>
              <w:kern w:val="36"/>
              <w:shd w:val="clear" w:color="auto" w:fill="auto"/>
            </w:rPr>
            <w:t>第三章  主要任务</w:t>
          </w:r>
          <w:r>
            <w:rPr>
              <w:shd w:val="clear" w:color="auto" w:fill="auto"/>
            </w:rPr>
            <w:tab/>
          </w:r>
          <w:r>
            <w:rPr>
              <w:shd w:val="clear" w:color="auto" w:fill="auto"/>
            </w:rPr>
            <w:fldChar w:fldCharType="begin"/>
          </w:r>
          <w:r>
            <w:rPr>
              <w:shd w:val="clear" w:color="auto" w:fill="auto"/>
            </w:rPr>
            <w:instrText xml:space="preserve"> PAGEREF _Toc89958961 \h </w:instrText>
          </w:r>
          <w:r>
            <w:rPr>
              <w:shd w:val="clear" w:color="auto" w:fill="auto"/>
            </w:rPr>
            <w:fldChar w:fldCharType="separate"/>
          </w:r>
          <w:r>
            <w:rPr>
              <w:shd w:val="clear" w:color="auto" w:fill="auto"/>
            </w:rPr>
            <w:t>19</w:t>
          </w:r>
          <w:r>
            <w:rPr>
              <w:shd w:val="clear" w:color="auto" w:fill="auto"/>
            </w:rPr>
            <w:fldChar w:fldCharType="end"/>
          </w:r>
          <w:r>
            <w:rPr>
              <w:shd w:val="clear" w:color="auto" w:fill="auto"/>
            </w:rPr>
            <w:fldChar w:fldCharType="end"/>
          </w:r>
        </w:p>
        <w:p>
          <w:pPr>
            <w:pStyle w:val="24"/>
            <w:rPr>
              <w:bCs/>
              <w:kern w:val="2"/>
              <w:sz w:val="28"/>
              <w:szCs w:val="28"/>
            </w:rPr>
          </w:pPr>
          <w:r>
            <w:fldChar w:fldCharType="begin"/>
          </w:r>
          <w:r>
            <w:instrText xml:space="preserve"> HYPERLINK \l "_Toc89958962" </w:instrText>
          </w:r>
          <w:r>
            <w:fldChar w:fldCharType="separate"/>
          </w:r>
          <w:r>
            <w:rPr>
              <w:rStyle w:val="33"/>
              <w:rFonts w:ascii="黑体" w:hAnsi="黑体" w:eastAsia="黑体"/>
              <w:bCs/>
              <w:sz w:val="28"/>
              <w:szCs w:val="28"/>
            </w:rPr>
            <w:t>一、不断完善全市重大火灾风险防控体系</w:t>
          </w:r>
          <w:r>
            <w:rPr>
              <w:bCs/>
              <w:sz w:val="28"/>
              <w:szCs w:val="28"/>
            </w:rPr>
            <w:tab/>
          </w:r>
          <w:r>
            <w:rPr>
              <w:bCs/>
              <w:sz w:val="28"/>
              <w:szCs w:val="28"/>
            </w:rPr>
            <w:fldChar w:fldCharType="begin"/>
          </w:r>
          <w:r>
            <w:rPr>
              <w:bCs/>
              <w:sz w:val="28"/>
              <w:szCs w:val="28"/>
            </w:rPr>
            <w:instrText xml:space="preserve"> PAGEREF _Toc89958962 \h </w:instrText>
          </w:r>
          <w:r>
            <w:rPr>
              <w:bCs/>
              <w:sz w:val="28"/>
              <w:szCs w:val="28"/>
            </w:rPr>
            <w:fldChar w:fldCharType="separate"/>
          </w:r>
          <w:r>
            <w:rPr>
              <w:bCs/>
              <w:sz w:val="28"/>
              <w:szCs w:val="28"/>
            </w:rPr>
            <w:t>19</w:t>
          </w:r>
          <w:r>
            <w:rPr>
              <w:bCs/>
              <w:sz w:val="28"/>
              <w:szCs w:val="28"/>
            </w:rPr>
            <w:fldChar w:fldCharType="end"/>
          </w:r>
          <w:r>
            <w:rPr>
              <w:bCs/>
              <w:sz w:val="28"/>
              <w:szCs w:val="28"/>
            </w:rPr>
            <w:fldChar w:fldCharType="end"/>
          </w:r>
        </w:p>
        <w:p>
          <w:pPr>
            <w:pStyle w:val="24"/>
            <w:rPr>
              <w:bCs/>
              <w:kern w:val="2"/>
              <w:sz w:val="28"/>
              <w:szCs w:val="28"/>
            </w:rPr>
          </w:pPr>
          <w:r>
            <w:fldChar w:fldCharType="begin"/>
          </w:r>
          <w:r>
            <w:instrText xml:space="preserve"> HYPERLINK \l "_Toc89958963" </w:instrText>
          </w:r>
          <w:r>
            <w:fldChar w:fldCharType="separate"/>
          </w:r>
          <w:r>
            <w:rPr>
              <w:rStyle w:val="33"/>
              <w:rFonts w:ascii="黑体" w:hAnsi="黑体" w:eastAsia="黑体"/>
              <w:bCs/>
              <w:sz w:val="28"/>
              <w:szCs w:val="28"/>
            </w:rPr>
            <w:t>二、全面提高各种灾害事故应对处置能力</w:t>
          </w:r>
          <w:r>
            <w:rPr>
              <w:bCs/>
              <w:sz w:val="28"/>
              <w:szCs w:val="28"/>
            </w:rPr>
            <w:tab/>
          </w:r>
          <w:r>
            <w:rPr>
              <w:bCs/>
              <w:sz w:val="28"/>
              <w:szCs w:val="28"/>
            </w:rPr>
            <w:fldChar w:fldCharType="begin"/>
          </w:r>
          <w:r>
            <w:rPr>
              <w:bCs/>
              <w:sz w:val="28"/>
              <w:szCs w:val="28"/>
            </w:rPr>
            <w:instrText xml:space="preserve"> PAGEREF _Toc89958963 \h </w:instrText>
          </w:r>
          <w:r>
            <w:rPr>
              <w:bCs/>
              <w:sz w:val="28"/>
              <w:szCs w:val="28"/>
            </w:rPr>
            <w:fldChar w:fldCharType="separate"/>
          </w:r>
          <w:r>
            <w:rPr>
              <w:bCs/>
              <w:sz w:val="28"/>
              <w:szCs w:val="28"/>
            </w:rPr>
            <w:t>24</w:t>
          </w:r>
          <w:r>
            <w:rPr>
              <w:bCs/>
              <w:sz w:val="28"/>
              <w:szCs w:val="28"/>
            </w:rPr>
            <w:fldChar w:fldCharType="end"/>
          </w:r>
          <w:r>
            <w:rPr>
              <w:bCs/>
              <w:sz w:val="28"/>
              <w:szCs w:val="28"/>
            </w:rPr>
            <w:fldChar w:fldCharType="end"/>
          </w:r>
        </w:p>
        <w:p>
          <w:pPr>
            <w:pStyle w:val="24"/>
            <w:rPr>
              <w:bCs/>
              <w:kern w:val="2"/>
              <w:sz w:val="28"/>
              <w:szCs w:val="28"/>
            </w:rPr>
          </w:pPr>
          <w:r>
            <w:fldChar w:fldCharType="begin"/>
          </w:r>
          <w:r>
            <w:instrText xml:space="preserve"> HYPERLINK \l "_Toc89958964" </w:instrText>
          </w:r>
          <w:r>
            <w:fldChar w:fldCharType="separate"/>
          </w:r>
          <w:r>
            <w:rPr>
              <w:rStyle w:val="33"/>
              <w:rFonts w:ascii="黑体" w:hAnsi="黑体" w:eastAsia="黑体"/>
              <w:bCs/>
              <w:sz w:val="28"/>
              <w:szCs w:val="28"/>
            </w:rPr>
            <w:t>三、深入推进消防工作改革</w:t>
          </w:r>
          <w:r>
            <w:rPr>
              <w:bCs/>
              <w:sz w:val="28"/>
              <w:szCs w:val="28"/>
            </w:rPr>
            <w:tab/>
          </w:r>
          <w:r>
            <w:rPr>
              <w:bCs/>
              <w:sz w:val="28"/>
              <w:szCs w:val="28"/>
            </w:rPr>
            <w:fldChar w:fldCharType="begin"/>
          </w:r>
          <w:r>
            <w:rPr>
              <w:bCs/>
              <w:sz w:val="28"/>
              <w:szCs w:val="28"/>
            </w:rPr>
            <w:instrText xml:space="preserve"> PAGEREF _Toc89958964 \h </w:instrText>
          </w:r>
          <w:r>
            <w:rPr>
              <w:bCs/>
              <w:sz w:val="28"/>
              <w:szCs w:val="28"/>
            </w:rPr>
            <w:fldChar w:fldCharType="separate"/>
          </w:r>
          <w:r>
            <w:rPr>
              <w:bCs/>
              <w:sz w:val="28"/>
              <w:szCs w:val="28"/>
            </w:rPr>
            <w:t>26</w:t>
          </w:r>
          <w:r>
            <w:rPr>
              <w:bCs/>
              <w:sz w:val="28"/>
              <w:szCs w:val="28"/>
            </w:rPr>
            <w:fldChar w:fldCharType="end"/>
          </w:r>
          <w:r>
            <w:rPr>
              <w:bCs/>
              <w:sz w:val="28"/>
              <w:szCs w:val="28"/>
            </w:rPr>
            <w:fldChar w:fldCharType="end"/>
          </w:r>
        </w:p>
        <w:p>
          <w:pPr>
            <w:pStyle w:val="21"/>
            <w:rPr>
              <w:rFonts w:asciiTheme="minorHAnsi" w:hAnsiTheme="minorHAnsi" w:cstheme="minorBidi"/>
              <w:color w:val="auto"/>
              <w:kern w:val="2"/>
              <w:shd w:val="clear" w:color="auto" w:fill="auto"/>
            </w:rPr>
          </w:pPr>
          <w:r>
            <w:fldChar w:fldCharType="begin"/>
          </w:r>
          <w:r>
            <w:instrText xml:space="preserve"> HYPERLINK \l "_Toc89958965" </w:instrText>
          </w:r>
          <w:r>
            <w:fldChar w:fldCharType="separate"/>
          </w:r>
          <w:r>
            <w:rPr>
              <w:rStyle w:val="33"/>
              <w:rFonts w:ascii="Times New Roman" w:hAnsi="Times New Roman" w:eastAsia="方正小标宋简体"/>
              <w:spacing w:val="-11"/>
              <w:kern w:val="36"/>
              <w:shd w:val="clear" w:color="auto" w:fill="auto"/>
            </w:rPr>
            <w:t>第四章  重点项目建设</w:t>
          </w:r>
          <w:r>
            <w:rPr>
              <w:shd w:val="clear" w:color="auto" w:fill="auto"/>
            </w:rPr>
            <w:tab/>
          </w:r>
          <w:r>
            <w:rPr>
              <w:shd w:val="clear" w:color="auto" w:fill="auto"/>
            </w:rPr>
            <w:fldChar w:fldCharType="begin"/>
          </w:r>
          <w:r>
            <w:rPr>
              <w:shd w:val="clear" w:color="auto" w:fill="auto"/>
            </w:rPr>
            <w:instrText xml:space="preserve"> PAGEREF _Toc89958965 \h </w:instrText>
          </w:r>
          <w:r>
            <w:rPr>
              <w:shd w:val="clear" w:color="auto" w:fill="auto"/>
            </w:rPr>
            <w:fldChar w:fldCharType="separate"/>
          </w:r>
          <w:r>
            <w:rPr>
              <w:shd w:val="clear" w:color="auto" w:fill="auto"/>
            </w:rPr>
            <w:t>30</w:t>
          </w:r>
          <w:r>
            <w:rPr>
              <w:shd w:val="clear" w:color="auto" w:fill="auto"/>
            </w:rPr>
            <w:fldChar w:fldCharType="end"/>
          </w:r>
          <w:r>
            <w:rPr>
              <w:shd w:val="clear" w:color="auto" w:fill="auto"/>
            </w:rPr>
            <w:fldChar w:fldCharType="end"/>
          </w:r>
        </w:p>
        <w:p>
          <w:pPr>
            <w:pStyle w:val="24"/>
            <w:rPr>
              <w:bCs/>
              <w:kern w:val="2"/>
              <w:sz w:val="28"/>
              <w:szCs w:val="28"/>
            </w:rPr>
          </w:pPr>
          <w:r>
            <w:fldChar w:fldCharType="begin"/>
          </w:r>
          <w:r>
            <w:instrText xml:space="preserve"> HYPERLINK \l "_Toc89958966" </w:instrText>
          </w:r>
          <w:r>
            <w:fldChar w:fldCharType="separate"/>
          </w:r>
          <w:r>
            <w:rPr>
              <w:rStyle w:val="33"/>
              <w:rFonts w:ascii="黑体" w:hAnsi="黑体" w:eastAsia="黑体" w:cs="黑体"/>
              <w:bCs/>
              <w:sz w:val="28"/>
              <w:szCs w:val="28"/>
            </w:rPr>
            <w:t>一、强化公共消防设施建设</w:t>
          </w:r>
          <w:r>
            <w:rPr>
              <w:bCs/>
              <w:sz w:val="28"/>
              <w:szCs w:val="28"/>
            </w:rPr>
            <w:tab/>
          </w:r>
          <w:r>
            <w:rPr>
              <w:bCs/>
              <w:sz w:val="28"/>
              <w:szCs w:val="28"/>
            </w:rPr>
            <w:fldChar w:fldCharType="begin"/>
          </w:r>
          <w:r>
            <w:rPr>
              <w:bCs/>
              <w:sz w:val="28"/>
              <w:szCs w:val="28"/>
            </w:rPr>
            <w:instrText xml:space="preserve"> PAGEREF _Toc89958966 \h </w:instrText>
          </w:r>
          <w:r>
            <w:rPr>
              <w:bCs/>
              <w:sz w:val="28"/>
              <w:szCs w:val="28"/>
            </w:rPr>
            <w:fldChar w:fldCharType="separate"/>
          </w:r>
          <w:r>
            <w:rPr>
              <w:bCs/>
              <w:sz w:val="28"/>
              <w:szCs w:val="28"/>
            </w:rPr>
            <w:t>30</w:t>
          </w:r>
          <w:r>
            <w:rPr>
              <w:bCs/>
              <w:sz w:val="28"/>
              <w:szCs w:val="28"/>
            </w:rPr>
            <w:fldChar w:fldCharType="end"/>
          </w:r>
          <w:r>
            <w:rPr>
              <w:bCs/>
              <w:sz w:val="28"/>
              <w:szCs w:val="28"/>
            </w:rPr>
            <w:fldChar w:fldCharType="end"/>
          </w:r>
        </w:p>
        <w:p>
          <w:pPr>
            <w:pStyle w:val="24"/>
            <w:rPr>
              <w:bCs/>
              <w:kern w:val="2"/>
              <w:sz w:val="28"/>
              <w:szCs w:val="28"/>
            </w:rPr>
          </w:pPr>
          <w:r>
            <w:fldChar w:fldCharType="begin"/>
          </w:r>
          <w:r>
            <w:instrText xml:space="preserve"> HYPERLINK \l "_Toc89958967" </w:instrText>
          </w:r>
          <w:r>
            <w:fldChar w:fldCharType="separate"/>
          </w:r>
          <w:r>
            <w:rPr>
              <w:rStyle w:val="33"/>
              <w:rFonts w:ascii="黑体" w:hAnsi="黑体" w:eastAsia="黑体"/>
              <w:bCs/>
              <w:sz w:val="28"/>
              <w:szCs w:val="28"/>
            </w:rPr>
            <w:t>二、推进消防救援装备提质升级</w:t>
          </w:r>
          <w:r>
            <w:rPr>
              <w:bCs/>
              <w:sz w:val="28"/>
              <w:szCs w:val="28"/>
            </w:rPr>
            <w:tab/>
          </w:r>
          <w:r>
            <w:rPr>
              <w:bCs/>
              <w:sz w:val="28"/>
              <w:szCs w:val="28"/>
            </w:rPr>
            <w:fldChar w:fldCharType="begin"/>
          </w:r>
          <w:r>
            <w:rPr>
              <w:bCs/>
              <w:sz w:val="28"/>
              <w:szCs w:val="28"/>
            </w:rPr>
            <w:instrText xml:space="preserve"> PAGEREF _Toc89958967 \h </w:instrText>
          </w:r>
          <w:r>
            <w:rPr>
              <w:bCs/>
              <w:sz w:val="28"/>
              <w:szCs w:val="28"/>
            </w:rPr>
            <w:fldChar w:fldCharType="separate"/>
          </w:r>
          <w:r>
            <w:rPr>
              <w:bCs/>
              <w:sz w:val="28"/>
              <w:szCs w:val="28"/>
            </w:rPr>
            <w:t>32</w:t>
          </w:r>
          <w:r>
            <w:rPr>
              <w:bCs/>
              <w:sz w:val="28"/>
              <w:szCs w:val="28"/>
            </w:rPr>
            <w:fldChar w:fldCharType="end"/>
          </w:r>
          <w:r>
            <w:rPr>
              <w:bCs/>
              <w:sz w:val="28"/>
              <w:szCs w:val="28"/>
            </w:rPr>
            <w:fldChar w:fldCharType="end"/>
          </w:r>
        </w:p>
        <w:p>
          <w:pPr>
            <w:pStyle w:val="24"/>
            <w:rPr>
              <w:bCs/>
              <w:kern w:val="2"/>
              <w:sz w:val="28"/>
              <w:szCs w:val="28"/>
            </w:rPr>
          </w:pPr>
          <w:r>
            <w:fldChar w:fldCharType="begin"/>
          </w:r>
          <w:r>
            <w:instrText xml:space="preserve"> HYPERLINK \l "_Toc89958968" </w:instrText>
          </w:r>
          <w:r>
            <w:fldChar w:fldCharType="separate"/>
          </w:r>
          <w:r>
            <w:rPr>
              <w:rStyle w:val="33"/>
              <w:rFonts w:ascii="黑体" w:hAnsi="黑体" w:eastAsia="黑体"/>
              <w:bCs/>
              <w:sz w:val="28"/>
              <w:szCs w:val="28"/>
            </w:rPr>
            <w:t>三、完善消防信息化支撑体系</w:t>
          </w:r>
          <w:r>
            <w:rPr>
              <w:bCs/>
              <w:sz w:val="28"/>
              <w:szCs w:val="28"/>
            </w:rPr>
            <w:tab/>
          </w:r>
          <w:r>
            <w:rPr>
              <w:bCs/>
              <w:sz w:val="28"/>
              <w:szCs w:val="28"/>
            </w:rPr>
            <w:fldChar w:fldCharType="begin"/>
          </w:r>
          <w:r>
            <w:rPr>
              <w:bCs/>
              <w:sz w:val="28"/>
              <w:szCs w:val="28"/>
            </w:rPr>
            <w:instrText xml:space="preserve"> PAGEREF _Toc89958968 \h </w:instrText>
          </w:r>
          <w:r>
            <w:rPr>
              <w:bCs/>
              <w:sz w:val="28"/>
              <w:szCs w:val="28"/>
            </w:rPr>
            <w:fldChar w:fldCharType="separate"/>
          </w:r>
          <w:r>
            <w:rPr>
              <w:bCs/>
              <w:sz w:val="28"/>
              <w:szCs w:val="28"/>
            </w:rPr>
            <w:t>34</w:t>
          </w:r>
          <w:r>
            <w:rPr>
              <w:bCs/>
              <w:sz w:val="28"/>
              <w:szCs w:val="28"/>
            </w:rPr>
            <w:fldChar w:fldCharType="end"/>
          </w:r>
          <w:r>
            <w:rPr>
              <w:bCs/>
              <w:sz w:val="28"/>
              <w:szCs w:val="28"/>
            </w:rPr>
            <w:fldChar w:fldCharType="end"/>
          </w:r>
        </w:p>
        <w:p>
          <w:pPr>
            <w:pStyle w:val="21"/>
            <w:rPr>
              <w:rFonts w:asciiTheme="minorHAnsi" w:hAnsiTheme="minorHAnsi" w:cstheme="minorBidi"/>
              <w:color w:val="auto"/>
              <w:kern w:val="2"/>
              <w:shd w:val="clear" w:color="auto" w:fill="auto"/>
            </w:rPr>
          </w:pPr>
          <w:r>
            <w:fldChar w:fldCharType="begin"/>
          </w:r>
          <w:r>
            <w:instrText xml:space="preserve"> HYPERLINK \l "_Toc89958969" </w:instrText>
          </w:r>
          <w:r>
            <w:fldChar w:fldCharType="separate"/>
          </w:r>
          <w:r>
            <w:rPr>
              <w:rStyle w:val="33"/>
              <w:rFonts w:ascii="Times New Roman" w:hAnsi="Times New Roman" w:eastAsia="方正小标宋简体"/>
              <w:spacing w:val="-11"/>
              <w:kern w:val="36"/>
              <w:shd w:val="clear" w:color="auto" w:fill="auto"/>
            </w:rPr>
            <w:t>第五章  实施保障</w:t>
          </w:r>
          <w:r>
            <w:rPr>
              <w:shd w:val="clear" w:color="auto" w:fill="auto"/>
            </w:rPr>
            <w:tab/>
          </w:r>
          <w:r>
            <w:rPr>
              <w:shd w:val="clear" w:color="auto" w:fill="auto"/>
            </w:rPr>
            <w:fldChar w:fldCharType="begin"/>
          </w:r>
          <w:r>
            <w:rPr>
              <w:shd w:val="clear" w:color="auto" w:fill="auto"/>
            </w:rPr>
            <w:instrText xml:space="preserve"> PAGEREF _Toc89958969 \h </w:instrText>
          </w:r>
          <w:r>
            <w:rPr>
              <w:shd w:val="clear" w:color="auto" w:fill="auto"/>
            </w:rPr>
            <w:fldChar w:fldCharType="separate"/>
          </w:r>
          <w:r>
            <w:rPr>
              <w:shd w:val="clear" w:color="auto" w:fill="auto"/>
            </w:rPr>
            <w:t>37</w:t>
          </w:r>
          <w:r>
            <w:rPr>
              <w:shd w:val="clear" w:color="auto" w:fill="auto"/>
            </w:rPr>
            <w:fldChar w:fldCharType="end"/>
          </w:r>
          <w:r>
            <w:rPr>
              <w:shd w:val="clear" w:color="auto" w:fill="auto"/>
            </w:rPr>
            <w:fldChar w:fldCharType="end"/>
          </w:r>
        </w:p>
        <w:p>
          <w:pPr>
            <w:pStyle w:val="24"/>
            <w:rPr>
              <w:bCs/>
              <w:kern w:val="2"/>
              <w:sz w:val="28"/>
              <w:szCs w:val="28"/>
            </w:rPr>
          </w:pPr>
          <w:r>
            <w:fldChar w:fldCharType="begin"/>
          </w:r>
          <w:r>
            <w:instrText xml:space="preserve"> HYPERLINK \l "_Toc89958970" </w:instrText>
          </w:r>
          <w:r>
            <w:fldChar w:fldCharType="separate"/>
          </w:r>
          <w:r>
            <w:rPr>
              <w:rStyle w:val="33"/>
              <w:rFonts w:ascii="黑体" w:hAnsi="黑体" w:eastAsia="黑体"/>
              <w:bCs/>
              <w:sz w:val="28"/>
              <w:szCs w:val="28"/>
            </w:rPr>
            <w:t>一、加强组织领导</w:t>
          </w:r>
          <w:r>
            <w:rPr>
              <w:bCs/>
              <w:sz w:val="28"/>
              <w:szCs w:val="28"/>
            </w:rPr>
            <w:tab/>
          </w:r>
          <w:r>
            <w:rPr>
              <w:bCs/>
              <w:sz w:val="28"/>
              <w:szCs w:val="28"/>
            </w:rPr>
            <w:fldChar w:fldCharType="begin"/>
          </w:r>
          <w:r>
            <w:rPr>
              <w:bCs/>
              <w:sz w:val="28"/>
              <w:szCs w:val="28"/>
            </w:rPr>
            <w:instrText xml:space="preserve"> PAGEREF _Toc89958970 \h </w:instrText>
          </w:r>
          <w:r>
            <w:rPr>
              <w:bCs/>
              <w:sz w:val="28"/>
              <w:szCs w:val="28"/>
            </w:rPr>
            <w:fldChar w:fldCharType="separate"/>
          </w:r>
          <w:r>
            <w:rPr>
              <w:bCs/>
              <w:sz w:val="28"/>
              <w:szCs w:val="28"/>
            </w:rPr>
            <w:t>37</w:t>
          </w:r>
          <w:r>
            <w:rPr>
              <w:bCs/>
              <w:sz w:val="28"/>
              <w:szCs w:val="28"/>
            </w:rPr>
            <w:fldChar w:fldCharType="end"/>
          </w:r>
          <w:r>
            <w:rPr>
              <w:bCs/>
              <w:sz w:val="28"/>
              <w:szCs w:val="28"/>
            </w:rPr>
            <w:fldChar w:fldCharType="end"/>
          </w:r>
        </w:p>
        <w:p>
          <w:pPr>
            <w:pStyle w:val="24"/>
            <w:rPr>
              <w:bCs/>
              <w:kern w:val="2"/>
              <w:sz w:val="28"/>
              <w:szCs w:val="28"/>
            </w:rPr>
          </w:pPr>
          <w:r>
            <w:fldChar w:fldCharType="begin"/>
          </w:r>
          <w:r>
            <w:instrText xml:space="preserve"> HYPERLINK \l "_Toc89958971" </w:instrText>
          </w:r>
          <w:r>
            <w:fldChar w:fldCharType="separate"/>
          </w:r>
          <w:r>
            <w:rPr>
              <w:rStyle w:val="33"/>
              <w:rFonts w:ascii="黑体" w:hAnsi="黑体" w:eastAsia="黑体"/>
              <w:bCs/>
              <w:sz w:val="28"/>
              <w:szCs w:val="28"/>
            </w:rPr>
            <w:t>二、明确职责任务</w:t>
          </w:r>
          <w:r>
            <w:rPr>
              <w:bCs/>
              <w:sz w:val="28"/>
              <w:szCs w:val="28"/>
            </w:rPr>
            <w:tab/>
          </w:r>
          <w:r>
            <w:rPr>
              <w:bCs/>
              <w:sz w:val="28"/>
              <w:szCs w:val="28"/>
            </w:rPr>
            <w:fldChar w:fldCharType="begin"/>
          </w:r>
          <w:r>
            <w:rPr>
              <w:bCs/>
              <w:sz w:val="28"/>
              <w:szCs w:val="28"/>
            </w:rPr>
            <w:instrText xml:space="preserve"> PAGEREF _Toc89958971 \h </w:instrText>
          </w:r>
          <w:r>
            <w:rPr>
              <w:bCs/>
              <w:sz w:val="28"/>
              <w:szCs w:val="28"/>
            </w:rPr>
            <w:fldChar w:fldCharType="separate"/>
          </w:r>
          <w:r>
            <w:rPr>
              <w:bCs/>
              <w:sz w:val="28"/>
              <w:szCs w:val="28"/>
            </w:rPr>
            <w:t>37</w:t>
          </w:r>
          <w:r>
            <w:rPr>
              <w:bCs/>
              <w:sz w:val="28"/>
              <w:szCs w:val="28"/>
            </w:rPr>
            <w:fldChar w:fldCharType="end"/>
          </w:r>
          <w:r>
            <w:rPr>
              <w:bCs/>
              <w:sz w:val="28"/>
              <w:szCs w:val="28"/>
            </w:rPr>
            <w:fldChar w:fldCharType="end"/>
          </w:r>
        </w:p>
        <w:p>
          <w:pPr>
            <w:pStyle w:val="24"/>
            <w:rPr>
              <w:bCs/>
              <w:kern w:val="2"/>
              <w:sz w:val="28"/>
              <w:szCs w:val="28"/>
            </w:rPr>
          </w:pPr>
          <w:r>
            <w:fldChar w:fldCharType="begin"/>
          </w:r>
          <w:r>
            <w:instrText xml:space="preserve"> HYPERLINK \l "_Toc89958972" </w:instrText>
          </w:r>
          <w:r>
            <w:fldChar w:fldCharType="separate"/>
          </w:r>
          <w:r>
            <w:rPr>
              <w:rStyle w:val="33"/>
              <w:rFonts w:ascii="黑体" w:hAnsi="黑体" w:eastAsia="黑体"/>
              <w:bCs/>
              <w:sz w:val="28"/>
              <w:szCs w:val="28"/>
            </w:rPr>
            <w:t>三、强化政策保障</w:t>
          </w:r>
          <w:r>
            <w:rPr>
              <w:bCs/>
              <w:sz w:val="28"/>
              <w:szCs w:val="28"/>
            </w:rPr>
            <w:tab/>
          </w:r>
          <w:r>
            <w:rPr>
              <w:bCs/>
              <w:sz w:val="28"/>
              <w:szCs w:val="28"/>
            </w:rPr>
            <w:fldChar w:fldCharType="begin"/>
          </w:r>
          <w:r>
            <w:rPr>
              <w:bCs/>
              <w:sz w:val="28"/>
              <w:szCs w:val="28"/>
            </w:rPr>
            <w:instrText xml:space="preserve"> PAGEREF _Toc89958972 \h </w:instrText>
          </w:r>
          <w:r>
            <w:rPr>
              <w:bCs/>
              <w:sz w:val="28"/>
              <w:szCs w:val="28"/>
            </w:rPr>
            <w:fldChar w:fldCharType="separate"/>
          </w:r>
          <w:r>
            <w:rPr>
              <w:bCs/>
              <w:sz w:val="28"/>
              <w:szCs w:val="28"/>
            </w:rPr>
            <w:t>38</w:t>
          </w:r>
          <w:r>
            <w:rPr>
              <w:bCs/>
              <w:sz w:val="28"/>
              <w:szCs w:val="28"/>
            </w:rPr>
            <w:fldChar w:fldCharType="end"/>
          </w:r>
          <w:r>
            <w:rPr>
              <w:bCs/>
              <w:sz w:val="28"/>
              <w:szCs w:val="28"/>
            </w:rPr>
            <w:fldChar w:fldCharType="end"/>
          </w:r>
        </w:p>
        <w:p>
          <w:pPr>
            <w:pStyle w:val="21"/>
            <w:rPr>
              <w:rFonts w:asciiTheme="minorHAnsi" w:hAnsiTheme="minorHAnsi" w:cstheme="minorBidi"/>
              <w:color w:val="auto"/>
              <w:kern w:val="2"/>
              <w:shd w:val="clear" w:color="auto" w:fill="auto"/>
            </w:rPr>
          </w:pPr>
          <w:r>
            <w:fldChar w:fldCharType="begin"/>
          </w:r>
          <w:r>
            <w:instrText xml:space="preserve"> HYPERLINK \l "_Toc89958973" </w:instrText>
          </w:r>
          <w:r>
            <w:fldChar w:fldCharType="separate"/>
          </w:r>
          <w:r>
            <w:rPr>
              <w:rStyle w:val="33"/>
              <w:rFonts w:ascii="黑体" w:hAnsi="黑体" w:eastAsia="黑体"/>
              <w:shd w:val="clear" w:color="auto" w:fill="auto"/>
            </w:rPr>
            <w:t>附件一：编制依据</w:t>
          </w:r>
          <w:r>
            <w:rPr>
              <w:shd w:val="clear" w:color="auto" w:fill="auto"/>
            </w:rPr>
            <w:tab/>
          </w:r>
          <w:r>
            <w:rPr>
              <w:shd w:val="clear" w:color="auto" w:fill="auto"/>
            </w:rPr>
            <w:fldChar w:fldCharType="begin"/>
          </w:r>
          <w:r>
            <w:rPr>
              <w:shd w:val="clear" w:color="auto" w:fill="auto"/>
            </w:rPr>
            <w:instrText xml:space="preserve"> PAGEREF _Toc89958973 \h </w:instrText>
          </w:r>
          <w:r>
            <w:rPr>
              <w:shd w:val="clear" w:color="auto" w:fill="auto"/>
            </w:rPr>
            <w:fldChar w:fldCharType="separate"/>
          </w:r>
          <w:r>
            <w:rPr>
              <w:shd w:val="clear" w:color="auto" w:fill="auto"/>
            </w:rPr>
            <w:t>39</w:t>
          </w:r>
          <w:r>
            <w:rPr>
              <w:shd w:val="clear" w:color="auto" w:fill="auto"/>
            </w:rPr>
            <w:fldChar w:fldCharType="end"/>
          </w:r>
          <w:r>
            <w:rPr>
              <w:shd w:val="clear" w:color="auto" w:fill="auto"/>
            </w:rPr>
            <w:fldChar w:fldCharType="end"/>
          </w:r>
        </w:p>
        <w:p>
          <w:pPr>
            <w:pStyle w:val="21"/>
            <w:rPr>
              <w:rFonts w:asciiTheme="minorHAnsi" w:hAnsiTheme="minorHAnsi" w:cstheme="minorBidi"/>
              <w:color w:val="auto"/>
              <w:kern w:val="2"/>
              <w:shd w:val="clear" w:color="auto" w:fill="auto"/>
            </w:rPr>
          </w:pPr>
          <w:r>
            <w:fldChar w:fldCharType="begin"/>
          </w:r>
          <w:r>
            <w:instrText xml:space="preserve"> HYPERLINK \l "_Toc89958974" </w:instrText>
          </w:r>
          <w:r>
            <w:fldChar w:fldCharType="separate"/>
          </w:r>
          <w:r>
            <w:rPr>
              <w:rStyle w:val="33"/>
              <w:rFonts w:ascii="黑体" w:hAnsi="黑体" w:eastAsia="黑体"/>
              <w:shd w:val="clear" w:color="auto" w:fill="auto"/>
            </w:rPr>
            <w:t>附件二：至“十三五”末城市消防站建设情况</w:t>
          </w:r>
          <w:r>
            <w:rPr>
              <w:shd w:val="clear" w:color="auto" w:fill="auto"/>
            </w:rPr>
            <w:tab/>
          </w:r>
          <w:r>
            <w:rPr>
              <w:shd w:val="clear" w:color="auto" w:fill="auto"/>
            </w:rPr>
            <w:fldChar w:fldCharType="begin"/>
          </w:r>
          <w:r>
            <w:rPr>
              <w:shd w:val="clear" w:color="auto" w:fill="auto"/>
            </w:rPr>
            <w:instrText xml:space="preserve"> PAGEREF _Toc89958974 \h </w:instrText>
          </w:r>
          <w:r>
            <w:rPr>
              <w:shd w:val="clear" w:color="auto" w:fill="auto"/>
            </w:rPr>
            <w:fldChar w:fldCharType="separate"/>
          </w:r>
          <w:r>
            <w:rPr>
              <w:shd w:val="clear" w:color="auto" w:fill="auto"/>
            </w:rPr>
            <w:t>41</w:t>
          </w:r>
          <w:r>
            <w:rPr>
              <w:shd w:val="clear" w:color="auto" w:fill="auto"/>
            </w:rPr>
            <w:fldChar w:fldCharType="end"/>
          </w:r>
          <w:r>
            <w:rPr>
              <w:shd w:val="clear" w:color="auto" w:fill="auto"/>
            </w:rPr>
            <w:fldChar w:fldCharType="end"/>
          </w:r>
        </w:p>
        <w:p>
          <w:pPr>
            <w:pStyle w:val="21"/>
            <w:rPr>
              <w:rFonts w:asciiTheme="minorHAnsi" w:hAnsiTheme="minorHAnsi" w:cstheme="minorBidi"/>
              <w:color w:val="auto"/>
              <w:kern w:val="2"/>
              <w:shd w:val="clear" w:color="auto" w:fill="auto"/>
            </w:rPr>
          </w:pPr>
          <w:r>
            <w:fldChar w:fldCharType="begin"/>
          </w:r>
          <w:r>
            <w:instrText xml:space="preserve"> HYPERLINK \l "_Toc89958975" </w:instrText>
          </w:r>
          <w:r>
            <w:fldChar w:fldCharType="separate"/>
          </w:r>
          <w:r>
            <w:rPr>
              <w:rStyle w:val="33"/>
              <w:rFonts w:ascii="黑体" w:hAnsi="黑体" w:eastAsia="黑体"/>
              <w:shd w:val="clear" w:color="auto" w:fill="auto"/>
            </w:rPr>
            <w:t>附件三：至“十三五”末乡镇消防队建设情况</w:t>
          </w:r>
          <w:r>
            <w:rPr>
              <w:shd w:val="clear" w:color="auto" w:fill="auto"/>
            </w:rPr>
            <w:tab/>
          </w:r>
          <w:r>
            <w:rPr>
              <w:shd w:val="clear" w:color="auto" w:fill="auto"/>
            </w:rPr>
            <w:fldChar w:fldCharType="begin"/>
          </w:r>
          <w:r>
            <w:rPr>
              <w:shd w:val="clear" w:color="auto" w:fill="auto"/>
            </w:rPr>
            <w:instrText xml:space="preserve"> PAGEREF _Toc89958975 \h </w:instrText>
          </w:r>
          <w:r>
            <w:rPr>
              <w:shd w:val="clear" w:color="auto" w:fill="auto"/>
            </w:rPr>
            <w:fldChar w:fldCharType="separate"/>
          </w:r>
          <w:r>
            <w:rPr>
              <w:shd w:val="clear" w:color="auto" w:fill="auto"/>
            </w:rPr>
            <w:t>42</w:t>
          </w:r>
          <w:r>
            <w:rPr>
              <w:shd w:val="clear" w:color="auto" w:fill="auto"/>
            </w:rPr>
            <w:fldChar w:fldCharType="end"/>
          </w:r>
          <w:r>
            <w:rPr>
              <w:shd w:val="clear" w:color="auto" w:fill="auto"/>
            </w:rPr>
            <w:fldChar w:fldCharType="end"/>
          </w:r>
        </w:p>
        <w:p>
          <w:pPr>
            <w:pStyle w:val="21"/>
            <w:rPr>
              <w:rFonts w:asciiTheme="minorHAnsi" w:hAnsiTheme="minorHAnsi" w:cstheme="minorBidi"/>
              <w:color w:val="auto"/>
              <w:kern w:val="2"/>
              <w:shd w:val="clear" w:color="auto" w:fill="auto"/>
            </w:rPr>
          </w:pPr>
          <w:r>
            <w:fldChar w:fldCharType="begin"/>
          </w:r>
          <w:r>
            <w:instrText xml:space="preserve"> HYPERLINK \l "_Toc89958976" </w:instrText>
          </w:r>
          <w:r>
            <w:fldChar w:fldCharType="separate"/>
          </w:r>
          <w:r>
            <w:rPr>
              <w:rStyle w:val="33"/>
              <w:rFonts w:ascii="黑体" w:hAnsi="黑体" w:eastAsia="黑体"/>
              <w:shd w:val="clear" w:color="auto" w:fill="auto"/>
            </w:rPr>
            <w:t>附件四：至“十三五”末全市化工园区消防概况</w:t>
          </w:r>
          <w:r>
            <w:rPr>
              <w:shd w:val="clear" w:color="auto" w:fill="auto"/>
            </w:rPr>
            <w:tab/>
          </w:r>
          <w:r>
            <w:rPr>
              <w:shd w:val="clear" w:color="auto" w:fill="auto"/>
            </w:rPr>
            <w:fldChar w:fldCharType="begin"/>
          </w:r>
          <w:r>
            <w:rPr>
              <w:shd w:val="clear" w:color="auto" w:fill="auto"/>
            </w:rPr>
            <w:instrText xml:space="preserve"> PAGEREF _Toc89958976 \h </w:instrText>
          </w:r>
          <w:r>
            <w:rPr>
              <w:shd w:val="clear" w:color="auto" w:fill="auto"/>
            </w:rPr>
            <w:fldChar w:fldCharType="separate"/>
          </w:r>
          <w:r>
            <w:rPr>
              <w:shd w:val="clear" w:color="auto" w:fill="auto"/>
            </w:rPr>
            <w:t>43</w:t>
          </w:r>
          <w:r>
            <w:rPr>
              <w:shd w:val="clear" w:color="auto" w:fill="auto"/>
            </w:rPr>
            <w:fldChar w:fldCharType="end"/>
          </w:r>
          <w:r>
            <w:rPr>
              <w:shd w:val="clear" w:color="auto" w:fill="auto"/>
            </w:rPr>
            <w:fldChar w:fldCharType="end"/>
          </w:r>
        </w:p>
        <w:p>
          <w:pPr>
            <w:pStyle w:val="21"/>
            <w:rPr>
              <w:rFonts w:asciiTheme="minorHAnsi" w:hAnsiTheme="minorHAnsi" w:cstheme="minorBidi"/>
              <w:color w:val="auto"/>
              <w:kern w:val="2"/>
              <w:shd w:val="clear" w:color="auto" w:fill="auto"/>
            </w:rPr>
          </w:pPr>
          <w:r>
            <w:fldChar w:fldCharType="begin"/>
          </w:r>
          <w:r>
            <w:instrText xml:space="preserve"> HYPERLINK \l "_Toc89958977" </w:instrText>
          </w:r>
          <w:r>
            <w:fldChar w:fldCharType="separate"/>
          </w:r>
          <w:r>
            <w:rPr>
              <w:rStyle w:val="33"/>
              <w:rFonts w:ascii="黑体" w:hAnsi="黑体" w:eastAsia="黑体"/>
              <w:shd w:val="clear" w:color="auto" w:fill="auto"/>
            </w:rPr>
            <w:t>附件五：“十四五”时期主城区规划新增消防救援站及投资估算</w:t>
          </w:r>
          <w:r>
            <w:rPr>
              <w:shd w:val="clear" w:color="auto" w:fill="auto"/>
            </w:rPr>
            <w:tab/>
          </w:r>
          <w:r>
            <w:rPr>
              <w:shd w:val="clear" w:color="auto" w:fill="auto"/>
            </w:rPr>
            <w:fldChar w:fldCharType="begin"/>
          </w:r>
          <w:r>
            <w:rPr>
              <w:shd w:val="clear" w:color="auto" w:fill="auto"/>
            </w:rPr>
            <w:instrText xml:space="preserve"> PAGEREF _Toc89958977 \h </w:instrText>
          </w:r>
          <w:r>
            <w:rPr>
              <w:shd w:val="clear" w:color="auto" w:fill="auto"/>
            </w:rPr>
            <w:fldChar w:fldCharType="separate"/>
          </w:r>
          <w:r>
            <w:rPr>
              <w:shd w:val="clear" w:color="auto" w:fill="auto"/>
            </w:rPr>
            <w:t>44</w:t>
          </w:r>
          <w:r>
            <w:rPr>
              <w:shd w:val="clear" w:color="auto" w:fill="auto"/>
            </w:rPr>
            <w:fldChar w:fldCharType="end"/>
          </w:r>
          <w:r>
            <w:rPr>
              <w:shd w:val="clear" w:color="auto" w:fill="auto"/>
            </w:rPr>
            <w:fldChar w:fldCharType="end"/>
          </w:r>
        </w:p>
        <w:p>
          <w:pPr>
            <w:pStyle w:val="21"/>
            <w:rPr>
              <w:rFonts w:asciiTheme="minorHAnsi" w:hAnsiTheme="minorHAnsi" w:cstheme="minorBidi"/>
              <w:color w:val="auto"/>
              <w:kern w:val="2"/>
              <w:shd w:val="clear" w:color="auto" w:fill="auto"/>
            </w:rPr>
          </w:pPr>
          <w:r>
            <w:fldChar w:fldCharType="begin"/>
          </w:r>
          <w:r>
            <w:instrText xml:space="preserve"> HYPERLINK \l "_Toc89958978" </w:instrText>
          </w:r>
          <w:r>
            <w:fldChar w:fldCharType="separate"/>
          </w:r>
          <w:r>
            <w:rPr>
              <w:rStyle w:val="33"/>
              <w:rFonts w:ascii="黑体" w:hAnsi="黑体" w:eastAsia="黑体"/>
              <w:shd w:val="clear" w:color="auto" w:fill="auto"/>
            </w:rPr>
            <w:t>附件六：“十四五”时期消防车辆预计报废统计表</w:t>
          </w:r>
          <w:r>
            <w:rPr>
              <w:shd w:val="clear" w:color="auto" w:fill="auto"/>
            </w:rPr>
            <w:tab/>
          </w:r>
          <w:r>
            <w:rPr>
              <w:shd w:val="clear" w:color="auto" w:fill="auto"/>
            </w:rPr>
            <w:fldChar w:fldCharType="begin"/>
          </w:r>
          <w:r>
            <w:rPr>
              <w:shd w:val="clear" w:color="auto" w:fill="auto"/>
            </w:rPr>
            <w:instrText xml:space="preserve"> PAGEREF _Toc89958978 \h </w:instrText>
          </w:r>
          <w:r>
            <w:rPr>
              <w:shd w:val="clear" w:color="auto" w:fill="auto"/>
            </w:rPr>
            <w:fldChar w:fldCharType="separate"/>
          </w:r>
          <w:r>
            <w:rPr>
              <w:shd w:val="clear" w:color="auto" w:fill="auto"/>
            </w:rPr>
            <w:t>45</w:t>
          </w:r>
          <w:r>
            <w:rPr>
              <w:shd w:val="clear" w:color="auto" w:fill="auto"/>
            </w:rPr>
            <w:fldChar w:fldCharType="end"/>
          </w:r>
          <w:r>
            <w:rPr>
              <w:shd w:val="clear" w:color="auto" w:fill="auto"/>
            </w:rPr>
            <w:fldChar w:fldCharType="end"/>
          </w:r>
        </w:p>
        <w:p>
          <w:pPr>
            <w:pStyle w:val="21"/>
            <w:rPr>
              <w:rFonts w:asciiTheme="minorHAnsi" w:hAnsiTheme="minorHAnsi" w:cstheme="minorBidi"/>
              <w:color w:val="auto"/>
              <w:kern w:val="2"/>
              <w:shd w:val="clear" w:color="auto" w:fill="auto"/>
            </w:rPr>
          </w:pPr>
          <w:r>
            <w:fldChar w:fldCharType="begin"/>
          </w:r>
          <w:r>
            <w:instrText xml:space="preserve"> HYPERLINK \l "_Toc89958979" </w:instrText>
          </w:r>
          <w:r>
            <w:fldChar w:fldCharType="separate"/>
          </w:r>
          <w:r>
            <w:rPr>
              <w:rStyle w:val="33"/>
              <w:rFonts w:ascii="黑体" w:hAnsi="黑体" w:eastAsia="黑体"/>
              <w:shd w:val="clear" w:color="auto" w:fill="auto"/>
            </w:rPr>
            <w:t>附件七：“十四五”时期消防救援车辆及装备增配规划</w:t>
          </w:r>
          <w:r>
            <w:rPr>
              <w:shd w:val="clear" w:color="auto" w:fill="auto"/>
            </w:rPr>
            <w:tab/>
          </w:r>
          <w:r>
            <w:rPr>
              <w:shd w:val="clear" w:color="auto" w:fill="auto"/>
            </w:rPr>
            <w:fldChar w:fldCharType="begin"/>
          </w:r>
          <w:r>
            <w:rPr>
              <w:shd w:val="clear" w:color="auto" w:fill="auto"/>
            </w:rPr>
            <w:instrText xml:space="preserve"> PAGEREF _Toc89958979 \h </w:instrText>
          </w:r>
          <w:r>
            <w:rPr>
              <w:shd w:val="clear" w:color="auto" w:fill="auto"/>
            </w:rPr>
            <w:fldChar w:fldCharType="separate"/>
          </w:r>
          <w:r>
            <w:rPr>
              <w:shd w:val="clear" w:color="auto" w:fill="auto"/>
            </w:rPr>
            <w:t>46</w:t>
          </w:r>
          <w:r>
            <w:rPr>
              <w:shd w:val="clear" w:color="auto" w:fill="auto"/>
            </w:rPr>
            <w:fldChar w:fldCharType="end"/>
          </w:r>
          <w:r>
            <w:rPr>
              <w:shd w:val="clear" w:color="auto" w:fill="auto"/>
            </w:rPr>
            <w:fldChar w:fldCharType="end"/>
          </w:r>
        </w:p>
        <w:p>
          <w:pPr>
            <w:pStyle w:val="21"/>
            <w:rPr>
              <w:rFonts w:asciiTheme="minorHAnsi" w:hAnsiTheme="minorHAnsi" w:cstheme="minorBidi"/>
              <w:color w:val="auto"/>
              <w:kern w:val="2"/>
              <w:shd w:val="clear" w:color="auto" w:fill="auto"/>
            </w:rPr>
          </w:pPr>
          <w:r>
            <w:fldChar w:fldCharType="begin"/>
          </w:r>
          <w:r>
            <w:instrText xml:space="preserve"> HYPERLINK \l "_Toc89958980" </w:instrText>
          </w:r>
          <w:r>
            <w:fldChar w:fldCharType="separate"/>
          </w:r>
          <w:r>
            <w:rPr>
              <w:rStyle w:val="33"/>
              <w:rFonts w:ascii="黑体" w:hAnsi="黑体" w:eastAsia="黑体"/>
              <w:shd w:val="clear" w:color="auto" w:fill="auto"/>
            </w:rPr>
            <w:t>附件八：“十四五”时期城市政府专职消防员和文员招录规划</w:t>
          </w:r>
          <w:r>
            <w:rPr>
              <w:shd w:val="clear" w:color="auto" w:fill="auto"/>
            </w:rPr>
            <w:tab/>
          </w:r>
          <w:r>
            <w:rPr>
              <w:shd w:val="clear" w:color="auto" w:fill="auto"/>
            </w:rPr>
            <w:fldChar w:fldCharType="begin"/>
          </w:r>
          <w:r>
            <w:rPr>
              <w:shd w:val="clear" w:color="auto" w:fill="auto"/>
            </w:rPr>
            <w:instrText xml:space="preserve"> PAGEREF _Toc89958980 \h </w:instrText>
          </w:r>
          <w:r>
            <w:rPr>
              <w:shd w:val="clear" w:color="auto" w:fill="auto"/>
            </w:rPr>
            <w:fldChar w:fldCharType="separate"/>
          </w:r>
          <w:r>
            <w:rPr>
              <w:shd w:val="clear" w:color="auto" w:fill="auto"/>
            </w:rPr>
            <w:t>48</w:t>
          </w:r>
          <w:r>
            <w:rPr>
              <w:shd w:val="clear" w:color="auto" w:fill="auto"/>
            </w:rPr>
            <w:fldChar w:fldCharType="end"/>
          </w:r>
          <w:r>
            <w:rPr>
              <w:shd w:val="clear" w:color="auto" w:fill="auto"/>
            </w:rPr>
            <w:fldChar w:fldCharType="end"/>
          </w:r>
        </w:p>
        <w:p>
          <w:pPr>
            <w:pStyle w:val="21"/>
            <w:rPr>
              <w:rFonts w:asciiTheme="minorHAnsi" w:hAnsiTheme="minorHAnsi" w:cstheme="minorBidi"/>
              <w:color w:val="auto"/>
              <w:kern w:val="2"/>
              <w:shd w:val="clear" w:color="auto" w:fill="auto"/>
            </w:rPr>
          </w:pPr>
          <w:r>
            <w:fldChar w:fldCharType="begin"/>
          </w:r>
          <w:r>
            <w:instrText xml:space="preserve"> HYPERLINK \l "_Toc89958981" </w:instrText>
          </w:r>
          <w:r>
            <w:fldChar w:fldCharType="separate"/>
          </w:r>
          <w:r>
            <w:rPr>
              <w:rStyle w:val="33"/>
              <w:rFonts w:ascii="黑体" w:hAnsi="黑体" w:eastAsia="黑体"/>
              <w:shd w:val="clear" w:color="auto" w:fill="auto"/>
            </w:rPr>
            <w:t>附件九：名词释义</w:t>
          </w:r>
          <w:r>
            <w:rPr>
              <w:shd w:val="clear" w:color="auto" w:fill="auto"/>
            </w:rPr>
            <w:tab/>
          </w:r>
          <w:r>
            <w:rPr>
              <w:shd w:val="clear" w:color="auto" w:fill="auto"/>
            </w:rPr>
            <w:fldChar w:fldCharType="begin"/>
          </w:r>
          <w:r>
            <w:rPr>
              <w:shd w:val="clear" w:color="auto" w:fill="auto"/>
            </w:rPr>
            <w:instrText xml:space="preserve"> PAGEREF _Toc89958981 \h </w:instrText>
          </w:r>
          <w:r>
            <w:rPr>
              <w:shd w:val="clear" w:color="auto" w:fill="auto"/>
            </w:rPr>
            <w:fldChar w:fldCharType="separate"/>
          </w:r>
          <w:r>
            <w:rPr>
              <w:shd w:val="clear" w:color="auto" w:fill="auto"/>
            </w:rPr>
            <w:t>49</w:t>
          </w:r>
          <w:r>
            <w:rPr>
              <w:shd w:val="clear" w:color="auto" w:fill="auto"/>
            </w:rPr>
            <w:fldChar w:fldCharType="end"/>
          </w:r>
          <w:r>
            <w:rPr>
              <w:shd w:val="clear" w:color="auto" w:fill="auto"/>
            </w:rPr>
            <w:fldChar w:fldCharType="end"/>
          </w:r>
        </w:p>
        <w:p>
          <w:pPr>
            <w:pStyle w:val="21"/>
            <w:spacing w:line="276" w:lineRule="auto"/>
          </w:pPr>
          <w:r>
            <w:rPr>
              <w:rFonts w:ascii="等线" w:hAnsi="等线" w:eastAsia="等线"/>
              <w:shd w:val="clear" w:color="auto" w:fill="auto"/>
            </w:rPr>
            <w:fldChar w:fldCharType="end"/>
          </w:r>
        </w:p>
      </w:sdtContent>
    </w:sdt>
    <w:p>
      <w:pPr>
        <w:widowControl/>
        <w:autoSpaceDE/>
        <w:autoSpaceDN/>
        <w:adjustRightInd/>
        <w:spacing w:line="240" w:lineRule="auto"/>
        <w:ind w:firstLine="0" w:firstLineChars="0"/>
        <w:jc w:val="center"/>
        <w:rPr>
          <w:rFonts w:ascii="Times New Roman" w:hAnsi="Times New Roman" w:eastAsia="方正小标宋简体"/>
          <w:b/>
          <w:spacing w:val="-11"/>
          <w:kern w:val="36"/>
          <w:szCs w:val="48"/>
        </w:rPr>
        <w:sectPr>
          <w:headerReference r:id="rId11" w:type="default"/>
          <w:footerReference r:id="rId12" w:type="default"/>
          <w:pgSz w:w="11906" w:h="16838"/>
          <w:pgMar w:top="1440" w:right="1797" w:bottom="1440" w:left="1797" w:header="680" w:footer="850" w:gutter="0"/>
          <w:pgNumType w:start="1"/>
          <w:cols w:space="425" w:num="1"/>
          <w:docGrid w:linePitch="381" w:charSpace="0"/>
        </w:sectPr>
      </w:pPr>
      <w:r>
        <w:rPr>
          <w:rFonts w:ascii="Times New Roman" w:hAnsi="Times New Roman" w:eastAsia="方正小标宋简体"/>
          <w:b/>
          <w:spacing w:val="-11"/>
          <w:kern w:val="36"/>
          <w:szCs w:val="48"/>
        </w:rPr>
        <w:br w:type="page"/>
      </w:r>
    </w:p>
    <w:p>
      <w:pPr>
        <w:pStyle w:val="3"/>
        <w:jc w:val="center"/>
        <w:rPr>
          <w:rFonts w:ascii="Times New Roman" w:hAnsi="Times New Roman" w:eastAsia="方正小标宋简体"/>
          <w:b w:val="0"/>
          <w:spacing w:val="-11"/>
          <w:kern w:val="36"/>
          <w:szCs w:val="48"/>
        </w:rPr>
      </w:pPr>
      <w:bookmarkStart w:id="2" w:name="_Toc89958953"/>
      <w:r>
        <w:rPr>
          <w:rFonts w:hint="eastAsia" w:ascii="Times New Roman" w:hAnsi="Times New Roman" w:eastAsia="方正小标宋简体"/>
          <w:b w:val="0"/>
          <w:spacing w:val="-11"/>
          <w:kern w:val="36"/>
          <w:szCs w:val="48"/>
        </w:rPr>
        <w:t>第一章</w:t>
      </w:r>
      <w:r>
        <w:rPr>
          <w:rFonts w:ascii="Times New Roman" w:hAnsi="Times New Roman" w:eastAsia="方正小标宋简体"/>
          <w:b w:val="0"/>
          <w:spacing w:val="-11"/>
          <w:kern w:val="36"/>
          <w:szCs w:val="48"/>
        </w:rPr>
        <w:t xml:space="preserve">  </w:t>
      </w:r>
      <w:r>
        <w:rPr>
          <w:rFonts w:hint="eastAsia" w:ascii="Times New Roman" w:hAnsi="Times New Roman" w:eastAsia="方正小标宋简体"/>
          <w:b w:val="0"/>
          <w:spacing w:val="-11"/>
          <w:kern w:val="36"/>
          <w:szCs w:val="48"/>
        </w:rPr>
        <w:t>规划背景</w:t>
      </w:r>
      <w:bookmarkEnd w:id="0"/>
      <w:bookmarkEnd w:id="1"/>
      <w:bookmarkEnd w:id="2"/>
    </w:p>
    <w:p>
      <w:pPr>
        <w:spacing w:before="260" w:after="260" w:line="580" w:lineRule="exact"/>
        <w:ind w:right="-1610" w:rightChars="-575" w:firstLine="643"/>
        <w:jc w:val="both"/>
        <w:outlineLvl w:val="1"/>
        <w:rPr>
          <w:rFonts w:ascii="黑体" w:hAnsi="黑体" w:eastAsia="黑体" w:cs="仿宋"/>
          <w:b/>
          <w:sz w:val="32"/>
          <w:szCs w:val="28"/>
        </w:rPr>
      </w:pPr>
      <w:bookmarkStart w:id="3" w:name="_Toc54690453"/>
      <w:bookmarkStart w:id="4" w:name="_Toc89958954"/>
      <w:bookmarkStart w:id="5" w:name="_Toc57646655"/>
      <w:r>
        <w:rPr>
          <w:rFonts w:hint="eastAsia" w:ascii="黑体" w:hAnsi="黑体" w:eastAsia="黑体" w:cs="仿宋"/>
          <w:b/>
          <w:sz w:val="32"/>
          <w:szCs w:val="28"/>
        </w:rPr>
        <w:t>一、“十三五”时期消防救援事业发展取得的主要成绩</w:t>
      </w:r>
      <w:bookmarkEnd w:id="3"/>
      <w:bookmarkEnd w:id="4"/>
      <w:bookmarkEnd w:id="5"/>
    </w:p>
    <w:p>
      <w:pPr>
        <w:spacing w:line="580" w:lineRule="exact"/>
        <w:ind w:firstLine="640"/>
        <w:jc w:val="both"/>
        <w:rPr>
          <w:rFonts w:ascii="仿宋" w:hAnsi="仿宋" w:eastAsia="仿宋"/>
          <w:sz w:val="32"/>
          <w:szCs w:val="32"/>
        </w:rPr>
      </w:pPr>
      <w:r>
        <w:rPr>
          <w:rFonts w:hint="eastAsia" w:ascii="仿宋" w:hAnsi="仿宋" w:eastAsia="仿宋"/>
          <w:sz w:val="32"/>
          <w:szCs w:val="32"/>
        </w:rPr>
        <w:t>“十三五”时期，在市委、市政府坚强领导下，在各部门、各单位共同努力下，在社会公众广泛参与下，全市消防工作始终坚持以习近平新时代中国特色社会主义思想为指导，全力破解滁州市消防事业发展难题，切实推进落实消防安全责任，着力完善火灾防控体系，有序推进消防基础设施建设，全面提高综合消防救援能力，确保全市火灾形势稳定，全市消防救援事业取得显著成效，为“十四五”消防救援事业发展打下坚实基础。</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(一)消防安全责任进一步落实。</w:t>
      </w:r>
      <w:r>
        <w:rPr>
          <w:rFonts w:hint="eastAsia" w:ascii="仿宋" w:hAnsi="仿宋" w:eastAsia="仿宋"/>
          <w:sz w:val="32"/>
          <w:szCs w:val="32"/>
        </w:rPr>
        <w:t>贯彻落实国务院《消防安全责任制实施办法》，坚持统一领导、分级负责，完善“党政同责、齐抓共管”的消防工作体系。常态落实消防工作联席会议、政府领导定期检查调研消防工作、消防工作目标考核和重大火灾隐患督办四项机制，推动消防安全工作进入“五会”“四考”“三必查”</w:t>
      </w:r>
      <w:r>
        <w:rPr>
          <w:rFonts w:hint="eastAsia" w:ascii="仿宋" w:hAnsi="仿宋" w:eastAsia="仿宋"/>
          <w:sz w:val="32"/>
          <w:szCs w:val="32"/>
          <w:vertAlign w:val="superscript"/>
        </w:rPr>
        <w:t>[1</w:t>
      </w:r>
      <w:r>
        <w:rPr>
          <w:rFonts w:ascii="仿宋" w:hAnsi="仿宋" w:eastAsia="仿宋"/>
          <w:sz w:val="32"/>
          <w:szCs w:val="32"/>
          <w:vertAlign w:val="superscript"/>
        </w:rPr>
        <w:t>]</w:t>
      </w:r>
      <w:r>
        <w:rPr>
          <w:rFonts w:hint="eastAsia" w:ascii="仿宋" w:hAnsi="仿宋" w:eastAsia="仿宋"/>
          <w:sz w:val="32"/>
          <w:szCs w:val="32"/>
        </w:rPr>
        <w:t>，持续完善火灾防控</w:t>
      </w:r>
      <w:r>
        <w:rPr>
          <w:rFonts w:hint="eastAsia" w:ascii="仿宋" w:hAnsi="仿宋" w:eastAsia="仿宋"/>
          <w:sz w:val="32"/>
          <w:szCs w:val="32"/>
          <w:lang w:val="en-US"/>
        </w:rPr>
        <w:t>机制</w:t>
      </w:r>
      <w:r>
        <w:rPr>
          <w:rFonts w:hint="eastAsia" w:ascii="仿宋" w:hAnsi="仿宋" w:eastAsia="仿宋"/>
          <w:sz w:val="32"/>
          <w:szCs w:val="32"/>
        </w:rPr>
        <w:t>。</w:t>
      </w:r>
      <w:r>
        <w:rPr>
          <w:rFonts w:hint="eastAsia" w:ascii="仿宋" w:hAnsi="仿宋" w:eastAsia="仿宋"/>
          <w:sz w:val="32"/>
          <w:szCs w:val="32"/>
          <w:lang w:val="en-US"/>
        </w:rPr>
        <w:t>推动</w:t>
      </w:r>
      <w:r>
        <w:rPr>
          <w:rFonts w:hint="eastAsia" w:ascii="仿宋" w:hAnsi="仿宋" w:eastAsia="仿宋"/>
          <w:sz w:val="32"/>
          <w:szCs w:val="32"/>
        </w:rPr>
        <w:t>各行业部门深入开展重点领域消防安全整治，建立健全更加严密的责任体系和更加有效的风险管控措施，扎实推进消防安全治理体系和治理能力现代化建设。落实“网格化”防控，发动群防群治力量开展巡查检查和隐患整治。</w:t>
      </w:r>
      <w:r>
        <w:rPr>
          <w:rFonts w:hint="eastAsia" w:ascii="仿宋" w:hAnsi="仿宋" w:eastAsia="仿宋"/>
          <w:sz w:val="32"/>
          <w:szCs w:val="32"/>
          <w:lang w:val="en-US"/>
        </w:rPr>
        <w:t>在1361家消防安全重点单位开展消防安全标准化创建工作，指导社会单位落实主体责任，</w:t>
      </w:r>
      <w:r>
        <w:rPr>
          <w:rFonts w:hint="eastAsia" w:ascii="仿宋" w:hAnsi="仿宋" w:eastAsia="仿宋"/>
          <w:sz w:val="32"/>
          <w:szCs w:val="32"/>
        </w:rPr>
        <w:t>将</w:t>
      </w:r>
      <w:r>
        <w:rPr>
          <w:rFonts w:hint="eastAsia" w:ascii="仿宋" w:hAnsi="仿宋" w:eastAsia="仿宋"/>
          <w:sz w:val="32"/>
          <w:szCs w:val="32"/>
          <w:lang w:val="en-US"/>
        </w:rPr>
        <w:t>335</w:t>
      </w:r>
      <w:r>
        <w:rPr>
          <w:rFonts w:hint="eastAsia" w:ascii="仿宋" w:hAnsi="仿宋" w:eastAsia="仿宋"/>
          <w:sz w:val="32"/>
          <w:szCs w:val="32"/>
        </w:rPr>
        <w:t>家单位列为火灾高危单位，落实更加严格的人防、物防、技防措施。</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（二）公共消防基础设施建设显著加强。</w:t>
      </w:r>
      <w:r>
        <w:rPr>
          <w:rFonts w:hint="eastAsia" w:ascii="仿宋" w:hAnsi="仿宋" w:eastAsia="仿宋"/>
          <w:sz w:val="32"/>
          <w:szCs w:val="32"/>
        </w:rPr>
        <w:t>至“十三五”末，全市已建(在建)城市消防救援站</w:t>
      </w:r>
      <w:r>
        <w:rPr>
          <w:rFonts w:ascii="仿宋" w:hAnsi="仿宋" w:eastAsia="仿宋"/>
          <w:sz w:val="32"/>
          <w:szCs w:val="32"/>
        </w:rPr>
        <w:t>17</w:t>
      </w:r>
      <w:r>
        <w:rPr>
          <w:rFonts w:hint="eastAsia" w:ascii="仿宋" w:hAnsi="仿宋" w:eastAsia="仿宋"/>
          <w:sz w:val="32"/>
          <w:szCs w:val="32"/>
        </w:rPr>
        <w:t>个,其中主城区建成6个、在建2个，县（市）建成</w:t>
      </w:r>
      <w:r>
        <w:rPr>
          <w:rFonts w:ascii="仿宋" w:hAnsi="仿宋" w:eastAsia="仿宋"/>
          <w:sz w:val="32"/>
          <w:szCs w:val="32"/>
        </w:rPr>
        <w:t>9</w:t>
      </w:r>
      <w:r>
        <w:rPr>
          <w:rFonts w:hint="eastAsia" w:ascii="仿宋" w:hAnsi="仿宋" w:eastAsia="仿宋"/>
          <w:sz w:val="32"/>
          <w:szCs w:val="32"/>
        </w:rPr>
        <w:t>个。建成一、二级乡镇消防队28个，社区（村）和社会单位建成微型消防站1623个。建成市政消火栓2711只、消防水鹤</w:t>
      </w:r>
      <w:r>
        <w:rPr>
          <w:rFonts w:ascii="仿宋" w:hAnsi="仿宋" w:eastAsia="仿宋"/>
          <w:sz w:val="32"/>
          <w:szCs w:val="32"/>
        </w:rPr>
        <w:t>115</w:t>
      </w:r>
      <w:r>
        <w:rPr>
          <w:rFonts w:hint="eastAsia" w:ascii="仿宋" w:hAnsi="仿宋" w:eastAsia="仿宋"/>
          <w:sz w:val="32"/>
          <w:szCs w:val="32"/>
        </w:rPr>
        <w:t>座，消防供水设施建设速度明显加快。“十三五”时期，全市通过实施普通国省道升级提质工程、农村公路畅通安全工程、综合交通枢纽建设工程，结合老旧小区消防车通道改造，制定出台《滁州市消防车通道管理规定》，有效保障了消防救援通行能力。全市消防</w:t>
      </w:r>
      <w:r>
        <w:rPr>
          <w:rFonts w:ascii="仿宋" w:hAnsi="仿宋" w:eastAsia="仿宋"/>
          <w:sz w:val="32"/>
          <w:szCs w:val="32"/>
        </w:rPr>
        <w:t>通信网络基础设施进一步完善</w:t>
      </w:r>
      <w:r>
        <w:rPr>
          <w:rFonts w:hint="eastAsia" w:ascii="仿宋" w:hAnsi="仿宋" w:eastAsia="仿宋"/>
          <w:sz w:val="32"/>
          <w:szCs w:val="32"/>
        </w:rPr>
        <w:t>，支撑体系逐步健全，并形成网络化、数字化、标准化发展格局。</w:t>
      </w:r>
    </w:p>
    <w:p>
      <w:pPr>
        <w:spacing w:line="580" w:lineRule="exact"/>
        <w:ind w:firstLine="643"/>
        <w:jc w:val="both"/>
        <w:rPr>
          <w:rFonts w:ascii="仿宋_GB2312"/>
          <w:sz w:val="32"/>
          <w:szCs w:val="32"/>
        </w:rPr>
      </w:pPr>
      <w:r>
        <w:rPr>
          <w:rFonts w:hint="eastAsia" w:ascii="楷体" w:hAnsi="楷体" w:eastAsia="楷体"/>
          <w:b/>
          <w:bCs/>
          <w:sz w:val="32"/>
          <w:szCs w:val="32"/>
        </w:rPr>
        <w:t>（</w:t>
      </w:r>
      <w:r>
        <w:rPr>
          <w:rFonts w:hint="eastAsia" w:ascii="楷体" w:hAnsi="楷体" w:eastAsia="楷体"/>
          <w:b/>
          <w:bCs/>
          <w:sz w:val="32"/>
          <w:szCs w:val="32"/>
          <w:lang w:val="en-US"/>
        </w:rPr>
        <w:t>三</w:t>
      </w:r>
      <w:r>
        <w:rPr>
          <w:rFonts w:hint="eastAsia" w:ascii="楷体" w:hAnsi="楷体" w:eastAsia="楷体"/>
          <w:b/>
          <w:bCs/>
          <w:sz w:val="32"/>
          <w:szCs w:val="32"/>
        </w:rPr>
        <w:t>）市民消防安全素质普遍提升。</w:t>
      </w:r>
      <w:r>
        <w:rPr>
          <w:rFonts w:hint="eastAsia" w:ascii="仿宋" w:hAnsi="仿宋" w:eastAsia="仿宋"/>
          <w:sz w:val="32"/>
          <w:szCs w:val="32"/>
        </w:rPr>
        <w:t>坚持从搭建宣传平台、突出宣传重点、打造文创精品三个层面出发，构建社会化消防宣传格局，提升全民消防安全素质。通过打造“两台两报”电视报纸专栏、融合“两微一抖一条”新媒体矩阵、组建“美团外卖消防宣传服务队”、定制“消防主题公交车”、建设消防科普教育基地、开放消防主题公园和社区消防体验站点等形式，让消防宣传更加贴近群众。全市组建10支消防志愿服务队，创新积分奖励机制，常态化开展“进学校”“进企业”“进社区”“进农村”“进家庭”宣传；结合热点节点不定期组织开展“中小学生消防安全知识有奖竞答” “消防安全探秘行”等消防公益主题活动。深耕精品内容，自主制作《农村防火口诀》和警示类、引导类消防公益宣传短视频，录制农村消防宣传广播剧，编制中小学生消防安全广播操，开设消防网络</w:t>
      </w:r>
      <w:r>
        <w:rPr>
          <w:rFonts w:hint="eastAsia" w:ascii="仿宋" w:hAnsi="仿宋" w:eastAsia="仿宋"/>
          <w:sz w:val="32"/>
          <w:szCs w:val="32"/>
          <w:lang w:val="en-US"/>
        </w:rPr>
        <w:t>消防</w:t>
      </w:r>
      <w:r>
        <w:rPr>
          <w:rFonts w:hint="eastAsia" w:ascii="仿宋" w:hAnsi="仿宋" w:eastAsia="仿宋"/>
          <w:sz w:val="32"/>
          <w:szCs w:val="32"/>
        </w:rPr>
        <w:t>直播课，通过多种形式提高市民消防安全知晓率。</w:t>
      </w:r>
    </w:p>
    <w:p>
      <w:pPr>
        <w:pStyle w:val="55"/>
        <w:spacing w:line="580" w:lineRule="exact"/>
        <w:ind w:firstLine="643"/>
        <w:rPr>
          <w:rFonts w:ascii="仿宋" w:hAnsi="仿宋" w:eastAsia="仿宋"/>
          <w:sz w:val="32"/>
          <w:szCs w:val="32"/>
        </w:rPr>
      </w:pPr>
      <w:r>
        <w:rPr>
          <w:rFonts w:hint="eastAsia" w:ascii="楷体" w:hAnsi="楷体" w:eastAsia="楷体"/>
          <w:b/>
          <w:bCs/>
          <w:sz w:val="32"/>
          <w:szCs w:val="32"/>
        </w:rPr>
        <w:t>（四）综合消防救援能力明显提高。</w:t>
      </w:r>
      <w:r>
        <w:rPr>
          <w:rFonts w:hint="eastAsia" w:ascii="仿宋" w:hAnsi="仿宋" w:eastAsia="仿宋"/>
          <w:sz w:val="32"/>
          <w:szCs w:val="32"/>
        </w:rPr>
        <w:t>出台《关于建立全市消防救援队伍职业荣誉体系和社会保障机制的意见》，为消防救援队伍实行专门化管理提供了保障，队伍建设进展顺利，</w:t>
      </w:r>
      <w:r>
        <w:rPr>
          <w:rFonts w:hint="eastAsia" w:ascii="仿宋" w:hAnsi="仿宋" w:eastAsia="仿宋"/>
          <w:color w:val="000000" w:themeColor="text1"/>
          <w:sz w:val="32"/>
          <w:szCs w:val="32"/>
          <w14:textFill>
            <w14:solidFill>
              <w14:schemeClr w14:val="tx1"/>
            </w14:solidFill>
          </w14:textFill>
        </w:rPr>
        <w:t>多种形式消防救援力量进一步发展壮大。按照“1+N”建队模式，形成</w:t>
      </w:r>
      <w:r>
        <w:rPr>
          <w:rFonts w:hint="eastAsia" w:ascii="仿宋" w:hAnsi="仿宋" w:eastAsia="仿宋"/>
          <w:sz w:val="32"/>
          <w:szCs w:val="32"/>
        </w:rPr>
        <w:t>消防救援“主力军”与政府专职消防队、企业专职消防队、微型消防站联勤联动的</w:t>
      </w:r>
      <w:r>
        <w:rPr>
          <w:rFonts w:hint="eastAsia" w:ascii="仿宋" w:hAnsi="仿宋" w:eastAsia="仿宋"/>
          <w:color w:val="000000" w:themeColor="text1"/>
          <w:sz w:val="32"/>
          <w:szCs w:val="32"/>
          <w14:textFill>
            <w14:solidFill>
              <w14:schemeClr w14:val="tx1"/>
            </w14:solidFill>
          </w14:textFill>
        </w:rPr>
        <w:t>综合消防救援力量体系。强</w:t>
      </w:r>
      <w:r>
        <w:rPr>
          <w:rFonts w:hint="eastAsia" w:ascii="仿宋" w:hAnsi="仿宋" w:eastAsia="仿宋"/>
          <w:sz w:val="32"/>
          <w:szCs w:val="32"/>
        </w:rPr>
        <w:t>化装备建设和物资储备，至“十三五”末，全市共配备灭火类消防车</w:t>
      </w:r>
      <w:r>
        <w:rPr>
          <w:rFonts w:ascii="仿宋" w:hAnsi="仿宋" w:eastAsia="仿宋"/>
          <w:sz w:val="32"/>
          <w:szCs w:val="32"/>
        </w:rPr>
        <w:t>57</w:t>
      </w:r>
      <w:r>
        <w:rPr>
          <w:rFonts w:hint="eastAsia" w:ascii="仿宋" w:hAnsi="仿宋" w:eastAsia="仿宋"/>
          <w:sz w:val="32"/>
          <w:szCs w:val="32"/>
        </w:rPr>
        <w:t>辆，举高类消防车</w:t>
      </w:r>
      <w:r>
        <w:rPr>
          <w:rFonts w:ascii="仿宋" w:hAnsi="仿宋" w:eastAsia="仿宋"/>
          <w:sz w:val="32"/>
          <w:szCs w:val="32"/>
        </w:rPr>
        <w:t>22</w:t>
      </w:r>
      <w:r>
        <w:rPr>
          <w:rFonts w:hint="eastAsia" w:ascii="仿宋" w:hAnsi="仿宋" w:eastAsia="仿宋"/>
          <w:sz w:val="32"/>
          <w:szCs w:val="32"/>
        </w:rPr>
        <w:t>辆，专勤与后勤保障类消防车</w:t>
      </w:r>
      <w:r>
        <w:rPr>
          <w:rFonts w:ascii="仿宋" w:hAnsi="仿宋" w:eastAsia="仿宋"/>
          <w:sz w:val="32"/>
          <w:szCs w:val="32"/>
        </w:rPr>
        <w:t>33</w:t>
      </w:r>
      <w:r>
        <w:rPr>
          <w:rFonts w:hint="eastAsia" w:ascii="仿宋" w:hAnsi="仿宋" w:eastAsia="仿宋"/>
          <w:sz w:val="32"/>
          <w:szCs w:val="32"/>
        </w:rPr>
        <w:t>辆，其它消防车7辆，配备各类灭火救援装备总计22346件（套），其中防护类装备14600件（套），抢险救援类装备3071件（套），灭火类器材4675件（套），灭火药剂117.7吨，船艇22艘，无人机16架，灭火/排烟/侦查机器人9台。强化消防员训练体系建设，针对“国家队”消防员、政府专职消防员、企业专职消防员的素质、体能、技能的差异性开展训练。“十三五”时期，全市共接处警20457起，火灾扑救14833次，抢险救灾和社会救援4229次，其它出动1395次，抢救疏散被困人员18799人，保护财产约17.8亿元。</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w:t>
      </w:r>
      <w:r>
        <w:rPr>
          <w:rFonts w:hint="eastAsia" w:ascii="楷体" w:hAnsi="楷体" w:eastAsia="楷体"/>
          <w:b/>
          <w:bCs/>
          <w:sz w:val="32"/>
          <w:szCs w:val="32"/>
          <w:lang w:val="en-US"/>
        </w:rPr>
        <w:t>五</w:t>
      </w:r>
      <w:r>
        <w:rPr>
          <w:rFonts w:hint="eastAsia" w:ascii="楷体" w:hAnsi="楷体" w:eastAsia="楷体"/>
          <w:b/>
          <w:bCs/>
          <w:sz w:val="32"/>
          <w:szCs w:val="32"/>
        </w:rPr>
        <w:t>）消防信息化水平阶段性提升。</w:t>
      </w:r>
      <w:r>
        <w:rPr>
          <w:rFonts w:hint="eastAsia" w:ascii="仿宋" w:hAnsi="仿宋" w:eastAsia="仿宋"/>
          <w:sz w:val="32"/>
          <w:szCs w:val="32"/>
        </w:rPr>
        <w:t>“十三五”时期，市政府将“智慧消防”纳入《滁州市新型智慧城市总体规划(2019—2025年)》，明确将“智慧消防”建设与“智慧城市”建设同步推进。研发“消防装备物资智能调度系统”和“车辆装备远程会诊系统”，对应急物资储备仓库分区设置、储备物资配备等方面的信息化管理进行提档升级，战勤保障信息化水平进一步提升。开展实战化指挥平台建设，升级图像综合管理平台，初步配备城市重大灾害事故和地质灾害应急通信装备。以凤阳县消防救援大队为试点，建设全省首个设备先进的县级消防救援指挥中心。</w:t>
      </w:r>
      <w:bookmarkStart w:id="6" w:name="_Toc57646660"/>
    </w:p>
    <w:bookmarkEnd w:id="6"/>
    <w:p>
      <w:pPr>
        <w:spacing w:line="580" w:lineRule="exact"/>
        <w:ind w:firstLine="643"/>
        <w:jc w:val="both"/>
        <w:rPr>
          <w:rFonts w:ascii="仿宋" w:hAnsi="仿宋" w:eastAsia="仿宋" w:cs="仿宋_GB2312"/>
          <w:color w:val="000000"/>
          <w:sz w:val="32"/>
          <w:szCs w:val="32"/>
        </w:rPr>
      </w:pPr>
      <w:r>
        <w:rPr>
          <w:rFonts w:hint="eastAsia" w:ascii="楷体" w:hAnsi="楷体" w:eastAsia="楷体"/>
          <w:b/>
          <w:bCs/>
          <w:sz w:val="32"/>
          <w:szCs w:val="32"/>
        </w:rPr>
        <w:t>（</w:t>
      </w:r>
      <w:r>
        <w:rPr>
          <w:rFonts w:hint="eastAsia" w:ascii="楷体" w:hAnsi="楷体" w:eastAsia="楷体"/>
          <w:b/>
          <w:bCs/>
          <w:sz w:val="32"/>
          <w:szCs w:val="32"/>
          <w:lang w:val="en-US"/>
        </w:rPr>
        <w:t>六</w:t>
      </w:r>
      <w:r>
        <w:rPr>
          <w:rFonts w:hint="eastAsia" w:ascii="楷体" w:hAnsi="楷体" w:eastAsia="楷体"/>
          <w:b/>
          <w:bCs/>
          <w:sz w:val="32"/>
          <w:szCs w:val="32"/>
        </w:rPr>
        <w:t>）火灾隐患排查整治效果显著。</w:t>
      </w:r>
      <w:r>
        <w:rPr>
          <w:rFonts w:hint="eastAsia" w:ascii="仿宋" w:hAnsi="仿宋" w:eastAsia="仿宋"/>
          <w:sz w:val="32"/>
          <w:szCs w:val="32"/>
        </w:rPr>
        <w:t>“十三五”时期全市共检查单位10.9万余家（次），发现隐患共12.9万余处，挂牌督办整改各级重大火灾隐患241处，责令“三停”单位741家，火灾风险隐患排查整治取得显著成效。组织开展夏季消防安全检查和冬春火灾防控工作</w:t>
      </w:r>
      <w:r>
        <w:rPr>
          <w:rFonts w:ascii="仿宋" w:hAnsi="仿宋" w:eastAsia="仿宋"/>
          <w:sz w:val="32"/>
          <w:szCs w:val="32"/>
        </w:rPr>
        <w:t>10</w:t>
      </w:r>
      <w:r>
        <w:rPr>
          <w:rFonts w:hint="eastAsia" w:ascii="仿宋" w:hAnsi="仿宋" w:eastAsia="仿宋"/>
          <w:sz w:val="32"/>
          <w:szCs w:val="32"/>
        </w:rPr>
        <w:t>次，开展 “</w:t>
      </w:r>
      <w:r>
        <w:rPr>
          <w:rFonts w:hint="eastAsia" w:ascii="仿宋" w:hAnsi="仿宋" w:eastAsia="仿宋"/>
          <w:sz w:val="32"/>
          <w:szCs w:val="32"/>
          <w:lang w:val="en-US"/>
        </w:rPr>
        <w:t>铸安</w:t>
      </w:r>
      <w:r>
        <w:rPr>
          <w:rFonts w:hint="eastAsia" w:ascii="仿宋" w:hAnsi="仿宋" w:eastAsia="仿宋"/>
          <w:sz w:val="32"/>
          <w:szCs w:val="32"/>
        </w:rPr>
        <w:t>”</w:t>
      </w:r>
      <w:r>
        <w:rPr>
          <w:rFonts w:hint="eastAsia" w:ascii="仿宋" w:hAnsi="仿宋" w:eastAsia="仿宋"/>
          <w:sz w:val="32"/>
          <w:szCs w:val="32"/>
          <w:lang w:val="en-US"/>
        </w:rPr>
        <w:t>行动</w:t>
      </w:r>
      <w:r>
        <w:rPr>
          <w:rFonts w:hint="eastAsia" w:ascii="仿宋" w:hAnsi="仿宋" w:eastAsia="仿宋"/>
          <w:sz w:val="32"/>
          <w:szCs w:val="32"/>
        </w:rPr>
        <w:t>、“十九大”消防安保、“防风险保平安迎大庆”等消防执法专项行动3</w:t>
      </w:r>
      <w:r>
        <w:rPr>
          <w:rFonts w:ascii="仿宋" w:hAnsi="仿宋" w:eastAsia="仿宋"/>
          <w:sz w:val="32"/>
          <w:szCs w:val="32"/>
        </w:rPr>
        <w:t>0</w:t>
      </w:r>
      <w:r>
        <w:rPr>
          <w:rFonts w:hint="eastAsia" w:ascii="仿宋" w:hAnsi="仿宋" w:eastAsia="仿宋"/>
          <w:sz w:val="32"/>
          <w:szCs w:val="32"/>
        </w:rPr>
        <w:t>余次，持续推进大型商业综合体、文物古建、人员密集场所、商场市场、仓储物流、高层建筑等</w:t>
      </w:r>
      <w:r>
        <w:rPr>
          <w:rFonts w:hint="eastAsia" w:ascii="仿宋" w:hAnsi="仿宋" w:eastAsia="仿宋"/>
          <w:sz w:val="32"/>
          <w:szCs w:val="32"/>
          <w:lang w:val="en-US"/>
        </w:rPr>
        <w:t>火灾高风险</w:t>
      </w:r>
      <w:r>
        <w:rPr>
          <w:rFonts w:hint="eastAsia" w:ascii="仿宋" w:hAnsi="仿宋" w:eastAsia="仿宋"/>
          <w:sz w:val="32"/>
          <w:szCs w:val="32"/>
        </w:rPr>
        <w:t>场所消防安全专项治理，发现整改消防安全隐患</w:t>
      </w:r>
      <w:r>
        <w:rPr>
          <w:rFonts w:hint="eastAsia" w:ascii="仿宋" w:hAnsi="仿宋" w:eastAsia="仿宋"/>
          <w:sz w:val="32"/>
          <w:szCs w:val="32"/>
          <w:lang w:val="en-US"/>
        </w:rPr>
        <w:t>6</w:t>
      </w:r>
      <w:r>
        <w:rPr>
          <w:rFonts w:hint="eastAsia" w:ascii="仿宋" w:hAnsi="仿宋" w:eastAsia="仿宋"/>
          <w:sz w:val="32"/>
          <w:szCs w:val="32"/>
        </w:rPr>
        <w:t>万余处。推进落实《滁州市消防安全专项整治三年行动实施方案》，全面开展打通消防生命通道、四类重点场所治理</w:t>
      </w:r>
      <w:r>
        <w:rPr>
          <w:rFonts w:hint="eastAsia" w:ascii="仿宋" w:hAnsi="仿宋" w:eastAsia="仿宋"/>
          <w:sz w:val="32"/>
          <w:szCs w:val="32"/>
          <w:vertAlign w:val="superscript"/>
        </w:rPr>
        <w:t>[</w:t>
      </w:r>
      <w:r>
        <w:rPr>
          <w:rFonts w:ascii="仿宋" w:hAnsi="仿宋" w:eastAsia="仿宋"/>
          <w:sz w:val="32"/>
          <w:szCs w:val="32"/>
          <w:vertAlign w:val="superscript"/>
        </w:rPr>
        <w:t>2]</w:t>
      </w:r>
      <w:r>
        <w:rPr>
          <w:rFonts w:hint="eastAsia" w:ascii="仿宋" w:hAnsi="仿宋" w:eastAsia="仿宋"/>
          <w:sz w:val="32"/>
          <w:szCs w:val="32"/>
        </w:rPr>
        <w:t>、突出风险整治、重点行业消防安全标准化管理等各项工作。深入</w:t>
      </w:r>
      <w:r>
        <w:rPr>
          <w:rFonts w:hint="eastAsia" w:ascii="仿宋" w:hAnsi="仿宋" w:eastAsia="仿宋"/>
          <w:sz w:val="32"/>
          <w:szCs w:val="32"/>
          <w:lang w:val="en-US"/>
        </w:rPr>
        <w:t>31</w:t>
      </w:r>
      <w:r>
        <w:rPr>
          <w:rFonts w:hint="eastAsia" w:ascii="仿宋" w:hAnsi="仿宋" w:eastAsia="仿宋"/>
          <w:sz w:val="32"/>
          <w:szCs w:val="32"/>
        </w:rPr>
        <w:t>个乡镇、</w:t>
      </w:r>
      <w:r>
        <w:rPr>
          <w:rFonts w:hint="eastAsia" w:ascii="仿宋" w:hAnsi="仿宋" w:eastAsia="仿宋"/>
          <w:sz w:val="32"/>
          <w:szCs w:val="32"/>
          <w:lang w:val="en-US"/>
        </w:rPr>
        <w:t>23</w:t>
      </w:r>
      <w:r>
        <w:rPr>
          <w:rFonts w:hint="eastAsia" w:ascii="仿宋" w:hAnsi="仿宋" w:eastAsia="仿宋"/>
          <w:sz w:val="32"/>
          <w:szCs w:val="32"/>
        </w:rPr>
        <w:t>个街道、1</w:t>
      </w:r>
      <w:r>
        <w:rPr>
          <w:rFonts w:hint="eastAsia" w:ascii="仿宋" w:hAnsi="仿宋" w:eastAsia="仿宋"/>
          <w:sz w:val="32"/>
          <w:szCs w:val="32"/>
          <w:lang w:val="en-US"/>
        </w:rPr>
        <w:t>156</w:t>
      </w:r>
      <w:r>
        <w:rPr>
          <w:rFonts w:hint="eastAsia" w:ascii="仿宋" w:hAnsi="仿宋" w:eastAsia="仿宋"/>
          <w:sz w:val="32"/>
          <w:szCs w:val="32"/>
        </w:rPr>
        <w:t>个社会单位开展火灾风险评估，梳理出高风险场所、区域9类。</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w:t>
      </w:r>
      <w:r>
        <w:rPr>
          <w:rFonts w:hint="eastAsia" w:ascii="楷体" w:hAnsi="楷体" w:eastAsia="楷体"/>
          <w:b/>
          <w:bCs/>
          <w:sz w:val="32"/>
          <w:szCs w:val="32"/>
          <w:lang w:val="en-US"/>
        </w:rPr>
        <w:t>七</w:t>
      </w:r>
      <w:r>
        <w:rPr>
          <w:rFonts w:hint="eastAsia" w:ascii="楷体" w:hAnsi="楷体" w:eastAsia="楷体"/>
          <w:b/>
          <w:bCs/>
          <w:sz w:val="32"/>
          <w:szCs w:val="32"/>
        </w:rPr>
        <w:t>）消防安全环境明显改善。</w:t>
      </w:r>
      <w:r>
        <w:rPr>
          <w:rFonts w:hint="eastAsia" w:ascii="仿宋" w:hAnsi="仿宋" w:eastAsia="仿宋"/>
          <w:sz w:val="32"/>
          <w:szCs w:val="32"/>
        </w:rPr>
        <w:t>通过创建全国文明城市消防专项行动、城市消防安全隐患治理三年行动部署，成立消防执法服务队10个，加大对各类重大火灾隐患、违法建设和非法经营衍生火灾隐患的执法力度，推动属地政府、行业部门在全市667个新建小区和536个老旧小区拆除违法建设358处、畅通消防车通道179条，为沿街商铺安装独立报警装置</w:t>
      </w:r>
      <w:r>
        <w:rPr>
          <w:rFonts w:hint="eastAsia" w:ascii="仿宋" w:hAnsi="仿宋" w:eastAsia="仿宋"/>
          <w:sz w:val="32"/>
          <w:szCs w:val="32"/>
          <w:lang w:val="en-US"/>
        </w:rPr>
        <w:t>7.8万</w:t>
      </w:r>
      <w:r>
        <w:rPr>
          <w:rFonts w:hint="eastAsia" w:ascii="仿宋" w:hAnsi="仿宋" w:eastAsia="仿宋"/>
          <w:sz w:val="32"/>
          <w:szCs w:val="32"/>
        </w:rPr>
        <w:t>个。进一步落实社会单位消防安全主体责任，推动消防安全重点单位开展消防安全标准化创建工作，推行落实消防安全管理人履职、建筑消防设施维护保养、年度检测和消防安全“五实N岗”</w:t>
      </w:r>
      <w:r>
        <w:rPr>
          <w:rFonts w:hint="eastAsia" w:ascii="仿宋" w:hAnsi="仿宋" w:eastAsia="仿宋"/>
          <w:sz w:val="32"/>
          <w:szCs w:val="32"/>
          <w:vertAlign w:val="superscript"/>
        </w:rPr>
        <w:t>[</w:t>
      </w:r>
      <w:r>
        <w:rPr>
          <w:rFonts w:ascii="仿宋" w:hAnsi="仿宋" w:eastAsia="仿宋"/>
          <w:sz w:val="32"/>
          <w:szCs w:val="32"/>
          <w:vertAlign w:val="superscript"/>
        </w:rPr>
        <w:t>3]</w:t>
      </w:r>
      <w:r>
        <w:rPr>
          <w:rFonts w:hint="eastAsia" w:ascii="仿宋" w:hAnsi="仿宋" w:eastAsia="仿宋"/>
          <w:sz w:val="32"/>
          <w:szCs w:val="32"/>
        </w:rPr>
        <w:t>建设等消防管理工作，消防安全环境明显改善。</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（八）火灾形势基本保持稳定。</w:t>
      </w:r>
      <w:r>
        <w:rPr>
          <w:rFonts w:hint="eastAsia" w:ascii="仿宋" w:hAnsi="仿宋" w:eastAsia="仿宋"/>
          <w:sz w:val="32"/>
          <w:szCs w:val="32"/>
        </w:rPr>
        <w:t>“十三五”时期，全市未发生较大社会影响的火灾事故，火灾起数、死亡人数、受伤人数、直接财产损失四项指标保持平稳。在发生的火灾中，从火灾原因看，电气火灾和用火不慎居前两位，分别占火灾总起数的</w:t>
      </w:r>
      <w:r>
        <w:rPr>
          <w:rFonts w:ascii="仿宋" w:hAnsi="仿宋" w:eastAsia="仿宋"/>
          <w:sz w:val="32"/>
          <w:szCs w:val="32"/>
        </w:rPr>
        <w:t>38.3</w:t>
      </w:r>
      <w:r>
        <w:rPr>
          <w:rFonts w:hint="eastAsia" w:ascii="仿宋" w:hAnsi="仿宋" w:eastAsia="仿宋"/>
          <w:sz w:val="32"/>
          <w:szCs w:val="32"/>
        </w:rPr>
        <w:t>%和</w:t>
      </w:r>
      <w:r>
        <w:rPr>
          <w:rFonts w:ascii="仿宋" w:hAnsi="仿宋" w:eastAsia="仿宋"/>
          <w:sz w:val="32"/>
          <w:szCs w:val="32"/>
        </w:rPr>
        <w:t>16.5</w:t>
      </w:r>
      <w:r>
        <w:rPr>
          <w:rFonts w:hint="eastAsia" w:ascii="仿宋" w:hAnsi="仿宋" w:eastAsia="仿宋"/>
          <w:sz w:val="32"/>
          <w:szCs w:val="32"/>
        </w:rPr>
        <w:t>%；从火灾发生场所看，住宅宿舍类火灾最多，占总数的</w:t>
      </w:r>
      <w:r>
        <w:rPr>
          <w:rFonts w:ascii="仿宋" w:hAnsi="仿宋" w:eastAsia="仿宋"/>
          <w:sz w:val="32"/>
          <w:szCs w:val="32"/>
        </w:rPr>
        <w:t>43.1</w:t>
      </w:r>
      <w:r>
        <w:rPr>
          <w:rFonts w:hint="eastAsia" w:ascii="仿宋" w:hAnsi="仿宋" w:eastAsia="仿宋"/>
          <w:sz w:val="32"/>
          <w:szCs w:val="32"/>
        </w:rPr>
        <w:t>%，各类人员密集场所发生火灾占总起数的</w:t>
      </w:r>
      <w:r>
        <w:rPr>
          <w:rFonts w:ascii="仿宋" w:hAnsi="仿宋" w:eastAsia="仿宋"/>
          <w:sz w:val="32"/>
          <w:szCs w:val="32"/>
        </w:rPr>
        <w:t>18.5</w:t>
      </w:r>
      <w:r>
        <w:rPr>
          <w:rFonts w:hint="eastAsia" w:ascii="仿宋" w:hAnsi="仿宋" w:eastAsia="仿宋"/>
          <w:sz w:val="32"/>
          <w:szCs w:val="32"/>
        </w:rPr>
        <w:t>%；从火灾发生的时间和空间规律看，冬春季节火灾发生率高于夏秋季节，且多发生于夜间，城镇火灾伤亡人数比重大于农村，企业类火灾多数发生在个体私营企业。</w:t>
      </w:r>
    </w:p>
    <w:p>
      <w:pPr>
        <w:spacing w:before="260" w:after="260" w:line="580" w:lineRule="exact"/>
        <w:ind w:right="-190" w:rightChars="-68" w:firstLine="643"/>
        <w:outlineLvl w:val="1"/>
        <w:rPr>
          <w:rFonts w:ascii="黑体" w:hAnsi="黑体" w:eastAsia="黑体" w:cs="黑体"/>
          <w:b/>
          <w:sz w:val="32"/>
          <w:szCs w:val="28"/>
          <w:lang w:val="en-US"/>
        </w:rPr>
      </w:pPr>
      <w:bookmarkStart w:id="7" w:name="_Toc54690454"/>
      <w:bookmarkStart w:id="8" w:name="_Toc89958955"/>
      <w:bookmarkStart w:id="9" w:name="_Toc57646664"/>
      <w:r>
        <w:rPr>
          <w:rFonts w:hint="eastAsia" w:ascii="黑体" w:hAnsi="黑体" w:eastAsia="黑体" w:cs="黑体"/>
          <w:b/>
          <w:sz w:val="32"/>
          <w:szCs w:val="28"/>
          <w:lang w:val="en-US"/>
        </w:rPr>
        <w:t>二、“十三五”时期消防救援事业发展存在的主要问题</w:t>
      </w:r>
      <w:bookmarkEnd w:id="7"/>
      <w:bookmarkEnd w:id="8"/>
      <w:bookmarkEnd w:id="9"/>
    </w:p>
    <w:p>
      <w:pPr>
        <w:spacing w:line="580" w:lineRule="exact"/>
        <w:ind w:firstLine="643"/>
        <w:jc w:val="both"/>
        <w:rPr>
          <w:rFonts w:ascii="仿宋" w:hAnsi="仿宋" w:eastAsia="仿宋"/>
          <w:color w:val="FF0000"/>
          <w:sz w:val="32"/>
          <w:szCs w:val="32"/>
          <w:lang w:val="en-US"/>
        </w:rPr>
      </w:pPr>
      <w:r>
        <w:rPr>
          <w:rFonts w:hint="eastAsia" w:ascii="楷体" w:hAnsi="楷体" w:eastAsia="楷体"/>
          <w:b/>
          <w:bCs/>
          <w:sz w:val="32"/>
          <w:szCs w:val="32"/>
        </w:rPr>
        <w:t>（一）公共消防基础设施缺口</w:t>
      </w:r>
      <w:r>
        <w:rPr>
          <w:rFonts w:hint="eastAsia" w:ascii="楷体" w:hAnsi="楷体" w:eastAsia="楷体"/>
          <w:b/>
          <w:bCs/>
          <w:sz w:val="32"/>
          <w:szCs w:val="32"/>
          <w:lang w:val="en-US"/>
        </w:rPr>
        <w:t>较大</w:t>
      </w:r>
      <w:r>
        <w:rPr>
          <w:rFonts w:hint="eastAsia" w:ascii="楷体" w:hAnsi="楷体" w:eastAsia="楷体"/>
          <w:b/>
          <w:bCs/>
          <w:sz w:val="32"/>
          <w:szCs w:val="32"/>
        </w:rPr>
        <w:t>。</w:t>
      </w:r>
      <w:r>
        <w:rPr>
          <w:rFonts w:hint="eastAsia" w:ascii="仿宋" w:hAnsi="仿宋" w:eastAsia="仿宋"/>
          <w:sz w:val="32"/>
          <w:szCs w:val="32"/>
          <w:lang w:val="en-US"/>
        </w:rPr>
        <w:t>消防站管辖面积过大、整体数量不足、布局不科学的问题还没有从根本上解决。以滁州市主城区为例，至“十三五”末，主城区建成面积约89平方公里，城区内投入执勤消防站仅6座，在建消防站2座，平均每个消防站辖区面积为11.1平方公里，远超国家标准规定的责任区面积4—7平方公里的要求，考虑到交通拥堵，消防站到场时间远超过“5分钟消防”标准。根据《</w:t>
      </w:r>
      <w:r>
        <w:fldChar w:fldCharType="begin"/>
      </w:r>
      <w:r>
        <w:instrText xml:space="preserve"> HYPERLINK "https://gf.1190119.com/list-982.htm" </w:instrText>
      </w:r>
      <w:r>
        <w:fldChar w:fldCharType="separate"/>
      </w:r>
      <w:r>
        <w:rPr>
          <w:rFonts w:hint="eastAsia" w:ascii="仿宋" w:hAnsi="仿宋" w:eastAsia="仿宋"/>
          <w:sz w:val="32"/>
          <w:szCs w:val="32"/>
          <w:lang w:val="en-US"/>
        </w:rPr>
        <w:t>城市消防站建设标准》（建标152-2017</w:t>
      </w:r>
      <w:r>
        <w:rPr>
          <w:rFonts w:hint="eastAsia" w:ascii="仿宋" w:hAnsi="仿宋" w:eastAsia="仿宋"/>
          <w:sz w:val="32"/>
          <w:szCs w:val="32"/>
          <w:lang w:val="en-US"/>
        </w:rPr>
        <w:fldChar w:fldCharType="end"/>
      </w:r>
      <w:r>
        <w:rPr>
          <w:rFonts w:hint="eastAsia" w:ascii="仿宋" w:hAnsi="仿宋" w:eastAsia="仿宋"/>
          <w:sz w:val="32"/>
          <w:szCs w:val="32"/>
          <w:lang w:val="en-US"/>
        </w:rPr>
        <w:t>）相关规定计算，目前中心城区至少应设有14座消防站才能满足消防救援需求。广大农村地区，特别是偏远村庄，消防基础设施较为薄弱，乡镇消防站和农村微型消防站的建设还较滞后。消防供水还有短板，高效供水设施建设还需加强。</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（二）消防车辆装备配备与灭火救援实际需求还有较大差距。</w:t>
      </w:r>
      <w:r>
        <w:rPr>
          <w:rFonts w:hint="eastAsia" w:ascii="仿宋" w:hAnsi="仿宋" w:eastAsia="仿宋"/>
          <w:sz w:val="32"/>
          <w:szCs w:val="32"/>
          <w:lang w:val="en-US"/>
        </w:rPr>
        <w:t>消防车辆装备配备结构不够优化，高精尖装备比较少，专业化灭火救援装备特别是处置超大储罐、超高化工装置的大型泡沫药剂输转车、大流量大吨位泡沫车和处置大型厂房仓库、大型商业综合体的重型水罐车、高喷车、排烟车、举高车、灭火机器人等装备还比较欠缺，高层灭火车辆器材装备无法满足辖区救援需求，高层灭火无人机还是空白。至“十三五”末，全市配备举高类消防车21辆，占总数</w:t>
      </w:r>
      <w:r>
        <w:rPr>
          <w:rFonts w:ascii="仿宋" w:hAnsi="仿宋" w:eastAsia="仿宋"/>
          <w:sz w:val="32"/>
          <w:szCs w:val="32"/>
          <w:lang w:val="en-US"/>
        </w:rPr>
        <w:t>17.6</w:t>
      </w:r>
      <w:r>
        <w:rPr>
          <w:rFonts w:hint="eastAsia" w:ascii="仿宋" w:hAnsi="仿宋" w:eastAsia="仿宋"/>
          <w:sz w:val="32"/>
          <w:szCs w:val="32"/>
          <w:lang w:val="en-US"/>
        </w:rPr>
        <w:t>%，处置高度超50米消防车仅４辆；配备泡沫类消防车21辆，占总数</w:t>
      </w:r>
      <w:r>
        <w:rPr>
          <w:rFonts w:ascii="仿宋" w:hAnsi="仿宋" w:eastAsia="仿宋"/>
          <w:sz w:val="32"/>
          <w:szCs w:val="32"/>
          <w:lang w:val="en-US"/>
        </w:rPr>
        <w:t>17</w:t>
      </w:r>
      <w:r>
        <w:rPr>
          <w:rFonts w:hint="eastAsia" w:ascii="仿宋" w:hAnsi="仿宋" w:eastAsia="仿宋"/>
          <w:sz w:val="32"/>
          <w:szCs w:val="32"/>
          <w:lang w:val="en-US"/>
        </w:rPr>
        <w:t>.6%，载泡沫4吨以上消防车仅1辆，流量100L/s以上消防车仅2辆；配备大流量泵浦消防车仅2辆，25吨以上重型水罐车仅4辆。全市3个已建站化工园区中，仅定远配备泡沫消防车1辆，其它园区消防站仅配备水罐消防车。应用于轨道救援的路轨两用消防车尚未配备。现有消防车辆更新速度慢，“十四五”时期，全市将有</w:t>
      </w:r>
      <w:r>
        <w:rPr>
          <w:rFonts w:ascii="仿宋" w:hAnsi="仿宋" w:eastAsia="仿宋"/>
          <w:sz w:val="32"/>
          <w:szCs w:val="32"/>
          <w:lang w:val="en-US"/>
        </w:rPr>
        <w:t>45</w:t>
      </w:r>
      <w:r>
        <w:rPr>
          <w:rFonts w:hint="eastAsia" w:ascii="仿宋" w:hAnsi="仿宋" w:eastAsia="仿宋"/>
          <w:sz w:val="32"/>
          <w:szCs w:val="32"/>
          <w:lang w:val="en-US"/>
        </w:rPr>
        <w:t>辆各类消防车报废，占总数3</w:t>
      </w:r>
      <w:r>
        <w:rPr>
          <w:rFonts w:ascii="仿宋" w:hAnsi="仿宋" w:eastAsia="仿宋"/>
          <w:sz w:val="32"/>
          <w:szCs w:val="32"/>
          <w:lang w:val="en-US"/>
        </w:rPr>
        <w:t>7</w:t>
      </w:r>
      <w:r>
        <w:rPr>
          <w:rFonts w:hint="eastAsia" w:ascii="仿宋" w:hAnsi="仿宋" w:eastAsia="仿宋"/>
          <w:sz w:val="32"/>
          <w:szCs w:val="32"/>
          <w:lang w:val="en-US"/>
        </w:rPr>
        <w:t>%。</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w:t>
      </w:r>
      <w:r>
        <w:rPr>
          <w:rFonts w:hint="eastAsia" w:ascii="楷体" w:hAnsi="楷体" w:eastAsia="楷体"/>
          <w:b/>
          <w:bCs/>
          <w:sz w:val="32"/>
          <w:szCs w:val="32"/>
          <w:lang w:val="en-US"/>
        </w:rPr>
        <w:t>三</w:t>
      </w:r>
      <w:r>
        <w:rPr>
          <w:rFonts w:hint="eastAsia" w:ascii="楷体" w:hAnsi="楷体" w:eastAsia="楷体"/>
          <w:b/>
          <w:bCs/>
          <w:sz w:val="32"/>
          <w:szCs w:val="32"/>
        </w:rPr>
        <w:t>）群众消防安全素质还有待提高。</w:t>
      </w:r>
      <w:r>
        <w:rPr>
          <w:rFonts w:hint="eastAsia" w:ascii="仿宋" w:hAnsi="仿宋" w:eastAsia="仿宋"/>
          <w:sz w:val="32"/>
          <w:szCs w:val="32"/>
        </w:rPr>
        <w:t>群众对消防知识掌握不够，对消防器材使用方法和逃生技能了解不足，对诸如应急疏散、灭火演练、消防知识讲座等消防宣传教育培训活动参与的</w:t>
      </w:r>
      <w:r>
        <w:rPr>
          <w:rFonts w:hint="eastAsia" w:ascii="仿宋" w:hAnsi="仿宋" w:eastAsia="仿宋"/>
          <w:sz w:val="32"/>
          <w:szCs w:val="32"/>
          <w:lang w:val="en-US"/>
        </w:rPr>
        <w:t>积极性</w:t>
      </w:r>
      <w:r>
        <w:rPr>
          <w:rFonts w:hint="eastAsia" w:ascii="仿宋" w:hAnsi="仿宋" w:eastAsia="仿宋"/>
          <w:sz w:val="32"/>
          <w:szCs w:val="32"/>
        </w:rPr>
        <w:t>不高。对日常生活中火灾风险和隐患辨识不清，一旦发生火灾因盲目逃生造成的人员伤亡时有发生。体验式、实景化消防培训教育场地不足，群众喜闻乐见的消防安全作品、产品难以满足需求，宣传教育缺乏深度、高度、广度。社会单位消防安全责任人、管理人等从业人员，缺乏统一的从业资格和能力评定标准，贯彻执行消防安全责任、督促整改火灾隐患、组织宣传教育培训的随机性、随意性较大，消防安全重点岗位人员安全意识、专业知识、应急处置能力还有差距。</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（四）火灾风险隐患依然大量存在。</w:t>
      </w:r>
      <w:r>
        <w:rPr>
          <w:rFonts w:hint="eastAsia" w:ascii="仿宋" w:hAnsi="仿宋" w:eastAsia="仿宋"/>
          <w:sz w:val="32"/>
          <w:szCs w:val="32"/>
        </w:rPr>
        <w:t>全市各种消防安全风险隐患</w:t>
      </w:r>
      <w:r>
        <w:rPr>
          <w:rFonts w:hint="eastAsia" w:ascii="仿宋" w:hAnsi="仿宋" w:eastAsia="仿宋"/>
          <w:sz w:val="32"/>
          <w:szCs w:val="32"/>
          <w:lang w:val="en-US"/>
        </w:rPr>
        <w:t>依然</w:t>
      </w:r>
      <w:r>
        <w:rPr>
          <w:rFonts w:hint="eastAsia" w:ascii="仿宋" w:hAnsi="仿宋" w:eastAsia="仿宋"/>
          <w:sz w:val="32"/>
          <w:szCs w:val="32"/>
        </w:rPr>
        <w:t>存在，静态隐患</w:t>
      </w:r>
      <w:r>
        <w:rPr>
          <w:rFonts w:hint="eastAsia" w:ascii="仿宋" w:hAnsi="仿宋" w:eastAsia="仿宋"/>
          <w:sz w:val="32"/>
          <w:szCs w:val="32"/>
          <w:lang w:val="en-US"/>
        </w:rPr>
        <w:t>类多</w:t>
      </w:r>
      <w:r>
        <w:rPr>
          <w:rFonts w:hint="eastAsia" w:ascii="仿宋" w:hAnsi="仿宋" w:eastAsia="仿宋"/>
          <w:sz w:val="32"/>
          <w:szCs w:val="32"/>
        </w:rPr>
        <w:t>面广，动态隐患屡治不绝，特别是居住小区、“三合一”场所、城中村、群租房等火灾风险较高。全市电动自行车近1</w:t>
      </w:r>
      <w:r>
        <w:rPr>
          <w:rFonts w:ascii="仿宋" w:hAnsi="仿宋" w:eastAsia="仿宋"/>
          <w:sz w:val="32"/>
          <w:szCs w:val="32"/>
        </w:rPr>
        <w:t>50</w:t>
      </w:r>
      <w:r>
        <w:rPr>
          <w:rFonts w:hint="eastAsia" w:ascii="仿宋" w:hAnsi="仿宋" w:eastAsia="仿宋"/>
          <w:sz w:val="32"/>
          <w:szCs w:val="32"/>
        </w:rPr>
        <w:t>万辆，火灾风险明显增加，电动车违规充电现象比较突出。城乡结合部、</w:t>
      </w:r>
      <w:r>
        <w:rPr>
          <w:rFonts w:hint="eastAsia" w:ascii="仿宋" w:hAnsi="仿宋" w:eastAsia="仿宋"/>
          <w:sz w:val="32"/>
          <w:szCs w:val="32"/>
          <w:lang w:val="en-US"/>
        </w:rPr>
        <w:t>乡镇区域</w:t>
      </w:r>
      <w:r>
        <w:rPr>
          <w:rFonts w:hint="eastAsia" w:ascii="仿宋" w:hAnsi="仿宋" w:eastAsia="仿宋"/>
          <w:sz w:val="32"/>
          <w:szCs w:val="32"/>
        </w:rPr>
        <w:t>消防安全隐患存量大，整治难度大。重点场所风险防控和隐患形势依然严峻，“高</w:t>
      </w:r>
      <w:r>
        <w:rPr>
          <w:rFonts w:hint="eastAsia" w:ascii="仿宋" w:hAnsi="仿宋" w:eastAsia="仿宋"/>
          <w:sz w:val="32"/>
          <w:szCs w:val="32"/>
          <w:lang w:val="en-US"/>
        </w:rPr>
        <w:t>低</w:t>
      </w:r>
      <w:r>
        <w:rPr>
          <w:rFonts w:hint="eastAsia" w:ascii="仿宋" w:hAnsi="仿宋" w:eastAsia="仿宋"/>
          <w:sz w:val="32"/>
          <w:szCs w:val="32"/>
        </w:rPr>
        <w:t>大化”“老幼古标”等场所突出火灾隐患治理工作仍然面临巨大压力，</w:t>
      </w:r>
      <w:r>
        <w:rPr>
          <w:rFonts w:hint="eastAsia" w:ascii="仿宋" w:hAnsi="仿宋" w:eastAsia="仿宋"/>
          <w:sz w:val="32"/>
          <w:szCs w:val="32"/>
          <w:lang w:val="en-US"/>
        </w:rPr>
        <w:t>各地新城区、开发区产业</w:t>
      </w:r>
      <w:r>
        <w:rPr>
          <w:rFonts w:hint="eastAsia" w:ascii="仿宋" w:hAnsi="仿宋" w:eastAsia="仿宋"/>
          <w:sz w:val="32"/>
          <w:szCs w:val="32"/>
        </w:rPr>
        <w:t>快速扩张，新业态、新产业快速发展又</w:t>
      </w:r>
      <w:r>
        <w:rPr>
          <w:rFonts w:hint="eastAsia" w:ascii="仿宋" w:hAnsi="仿宋" w:eastAsia="仿宋"/>
          <w:sz w:val="32"/>
          <w:szCs w:val="32"/>
          <w:lang w:val="en-US"/>
        </w:rPr>
        <w:t>增添了新的火灾</w:t>
      </w:r>
      <w:r>
        <w:rPr>
          <w:rFonts w:hint="eastAsia" w:ascii="仿宋" w:hAnsi="仿宋" w:eastAsia="仿宋"/>
          <w:sz w:val="32"/>
          <w:szCs w:val="32"/>
        </w:rPr>
        <w:t>风险。</w:t>
      </w:r>
    </w:p>
    <w:p>
      <w:pPr>
        <w:spacing w:line="580" w:lineRule="exact"/>
        <w:ind w:firstLine="643"/>
        <w:jc w:val="both"/>
        <w:rPr>
          <w:rFonts w:ascii="仿宋" w:hAnsi="仿宋" w:eastAsia="仿宋"/>
          <w:sz w:val="32"/>
          <w:szCs w:val="32"/>
          <w:lang w:val="en-US"/>
        </w:rPr>
      </w:pPr>
      <w:r>
        <w:rPr>
          <w:rFonts w:hint="eastAsia" w:ascii="楷体" w:hAnsi="楷体" w:eastAsia="楷体"/>
          <w:b/>
          <w:bCs/>
          <w:sz w:val="32"/>
          <w:szCs w:val="32"/>
        </w:rPr>
        <w:t>（五）综合消防救援能力还不适应。</w:t>
      </w:r>
      <w:r>
        <w:rPr>
          <w:rFonts w:hint="eastAsia" w:ascii="仿宋" w:hAnsi="仿宋" w:eastAsia="仿宋"/>
          <w:sz w:val="32"/>
          <w:szCs w:val="32"/>
          <w:lang w:val="en-US"/>
        </w:rPr>
        <w:t>“国家队”指战员编制有限，政府专职消防队发展缓慢。全市现有综合性消防救援队伍235人，政府专职消防队员267人，全市17个城市消防站15个不能满编运行。全市5个化工园区中，天长、来安化工园区尚未建设消防站，全椒、定远、明光现有专职消防队车辆、装备和人员配备与化工救援实际需求差距较大。乡镇消防队、企业专职队救援力量比较薄弱，普遍存在消防员数量不足、训练体系不完善、车辆装备差等短板。综合性消防救援响应、指挥机制及消防救援预案体系还有待完善，实战化战勤保障力量还有待加强。全市综合性消防救援专业化训练设施还比较落后，训练基地还未建成。</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w:t>
      </w:r>
      <w:r>
        <w:rPr>
          <w:rFonts w:hint="eastAsia" w:ascii="楷体" w:hAnsi="楷体" w:eastAsia="楷体"/>
          <w:b/>
          <w:bCs/>
          <w:sz w:val="32"/>
          <w:szCs w:val="32"/>
          <w:lang w:val="en-US"/>
        </w:rPr>
        <w:t>六</w:t>
      </w:r>
      <w:r>
        <w:rPr>
          <w:rFonts w:hint="eastAsia" w:ascii="楷体" w:hAnsi="楷体" w:eastAsia="楷体"/>
          <w:b/>
          <w:bCs/>
          <w:sz w:val="32"/>
          <w:szCs w:val="32"/>
        </w:rPr>
        <w:t>）消防信息化水平还亟需提高。</w:t>
      </w:r>
      <w:r>
        <w:rPr>
          <w:rFonts w:hint="eastAsia" w:ascii="仿宋" w:hAnsi="仿宋" w:eastAsia="仿宋"/>
          <w:sz w:val="32"/>
          <w:szCs w:val="32"/>
        </w:rPr>
        <w:t>消防信息化建设和应用还处于初期起步阶段，5G、物联网、大数据、云计算、区块链、人工智能等新技术应用不足，智能决策能力滞后于消防</w:t>
      </w:r>
      <w:r>
        <w:rPr>
          <w:rFonts w:ascii="仿宋" w:hAnsi="仿宋" w:eastAsia="仿宋"/>
          <w:sz w:val="32"/>
          <w:szCs w:val="32"/>
        </w:rPr>
        <w:t>救援队伍</w:t>
      </w:r>
      <w:r>
        <w:rPr>
          <w:rFonts w:hint="eastAsia" w:ascii="仿宋" w:hAnsi="仿宋" w:eastAsia="仿宋"/>
          <w:sz w:val="32"/>
          <w:szCs w:val="32"/>
        </w:rPr>
        <w:t>职能任务需求。消防信息融合程度不高，采集信息的准确性、时效性有待提高，“信息孤岛”现象依然存在。应急通信装备集成化、轻便性和网络对抗性、扩展性不高，尚不能完全满足“全天候、全地域”通信保障需要。消防信息化专业人才缺乏，尤其是基层</w:t>
      </w:r>
      <w:r>
        <w:rPr>
          <w:rFonts w:hint="eastAsia" w:ascii="仿宋" w:hAnsi="仿宋" w:eastAsia="仿宋"/>
          <w:sz w:val="32"/>
          <w:szCs w:val="32"/>
          <w:lang w:val="en-US"/>
        </w:rPr>
        <w:t>队站</w:t>
      </w:r>
      <w:r>
        <w:rPr>
          <w:rFonts w:hint="eastAsia" w:ascii="仿宋" w:hAnsi="仿宋" w:eastAsia="仿宋"/>
          <w:sz w:val="32"/>
          <w:szCs w:val="32"/>
        </w:rPr>
        <w:t>，还不能适应消防信息化发展的需求。</w:t>
      </w:r>
    </w:p>
    <w:p>
      <w:pPr>
        <w:spacing w:before="260" w:after="260" w:line="580" w:lineRule="exact"/>
        <w:ind w:firstLine="643"/>
        <w:outlineLvl w:val="1"/>
        <w:rPr>
          <w:rFonts w:ascii="黑体" w:hAnsi="黑体" w:eastAsia="黑体"/>
          <w:b/>
          <w:sz w:val="32"/>
          <w:szCs w:val="32"/>
        </w:rPr>
      </w:pPr>
      <w:bookmarkStart w:id="10" w:name="_Toc54690455"/>
      <w:bookmarkStart w:id="11" w:name="_Toc57646672"/>
      <w:bookmarkStart w:id="12" w:name="_Toc89958956"/>
      <w:r>
        <w:rPr>
          <w:rFonts w:hint="eastAsia" w:ascii="黑体" w:hAnsi="黑体" w:eastAsia="黑体"/>
          <w:b/>
          <w:sz w:val="32"/>
          <w:szCs w:val="32"/>
          <w:lang w:val="en-US"/>
        </w:rPr>
        <w:t>三、“十四五”时期消防救援事业发展面临的形势</w:t>
      </w:r>
      <w:bookmarkEnd w:id="10"/>
      <w:bookmarkEnd w:id="11"/>
      <w:bookmarkEnd w:id="12"/>
    </w:p>
    <w:p>
      <w:pPr>
        <w:spacing w:line="580" w:lineRule="exact"/>
        <w:ind w:firstLine="640"/>
        <w:jc w:val="both"/>
        <w:rPr>
          <w:rFonts w:ascii="仿宋" w:hAnsi="仿宋" w:eastAsia="仿宋"/>
          <w:sz w:val="32"/>
          <w:szCs w:val="32"/>
        </w:rPr>
      </w:pPr>
      <w:r>
        <w:rPr>
          <w:rFonts w:hint="eastAsia" w:ascii="仿宋" w:hAnsi="仿宋" w:eastAsia="仿宋"/>
          <w:sz w:val="32"/>
          <w:szCs w:val="32"/>
        </w:rPr>
        <w:t>“十四五”时期是我国全面建成小康社会、实现第一个百年奋斗目标之后，乘势而上开启全面建设社会主义现代化国家新征程、向第二个百年奋斗目标进军的第一个五年，也是滁州融入长三角、推动滁宁一体化和高质量发展的关键时期，面对“争先进位”压力和滁州市“5688</w:t>
      </w:r>
      <w:r>
        <w:rPr>
          <w:rFonts w:ascii="仿宋" w:hAnsi="仿宋" w:eastAsia="仿宋"/>
          <w:sz w:val="32"/>
          <w:szCs w:val="32"/>
        </w:rPr>
        <w:t>”</w:t>
      </w:r>
      <w:r>
        <w:rPr>
          <w:rFonts w:ascii="仿宋" w:hAnsi="仿宋" w:eastAsia="仿宋"/>
          <w:sz w:val="32"/>
          <w:szCs w:val="32"/>
          <w:vertAlign w:val="superscript"/>
        </w:rPr>
        <w:t>[4]</w:t>
      </w:r>
      <w:r>
        <w:rPr>
          <w:rFonts w:hint="eastAsia" w:ascii="仿宋" w:hAnsi="仿宋" w:eastAsia="仿宋"/>
          <w:sz w:val="32"/>
          <w:szCs w:val="32"/>
        </w:rPr>
        <w:t>发展目标，消防救援事业仍然面临着严峻的形势。</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（一）防范化解城市火灾风险面临严峻考验。</w:t>
      </w:r>
      <w:r>
        <w:rPr>
          <w:rFonts w:hint="eastAsia" w:ascii="仿宋" w:hAnsi="仿宋" w:eastAsia="仿宋"/>
          <w:sz w:val="32"/>
          <w:szCs w:val="32"/>
          <w:lang w:val="en-US"/>
        </w:rPr>
        <w:t>“十三五”时期，全市火灾起数、死亡人数、受伤人数、直接财产损失四项指标与“十二五”相比，虽然保持相对平稳且呈下降趋势，但各种历史遗留的火灾风险与快速发展带来的致灾因素相互交织，全市火灾风险依然较大。</w:t>
      </w:r>
      <w:r>
        <w:rPr>
          <w:rFonts w:hint="eastAsia" w:ascii="仿宋" w:hAnsi="仿宋" w:eastAsia="仿宋"/>
          <w:b/>
          <w:bCs/>
          <w:sz w:val="32"/>
          <w:szCs w:val="32"/>
        </w:rPr>
        <w:t>一是</w:t>
      </w:r>
      <w:r>
        <w:rPr>
          <w:rFonts w:hint="eastAsia" w:ascii="仿宋" w:hAnsi="仿宋" w:eastAsia="仿宋"/>
          <w:sz w:val="32"/>
          <w:szCs w:val="32"/>
        </w:rPr>
        <w:t>火灾敏感度越来越高，滁州</w:t>
      </w:r>
      <w:r>
        <w:rPr>
          <w:rFonts w:hint="eastAsia" w:ascii="仿宋" w:hAnsi="仿宋" w:eastAsia="仿宋"/>
          <w:sz w:val="32"/>
          <w:szCs w:val="32"/>
          <w:lang w:val="en-US"/>
        </w:rPr>
        <w:t>作为</w:t>
      </w:r>
      <w:r>
        <w:rPr>
          <w:rFonts w:hint="eastAsia" w:ascii="仿宋" w:hAnsi="仿宋" w:eastAsia="仿宋"/>
          <w:sz w:val="32"/>
          <w:szCs w:val="32"/>
        </w:rPr>
        <w:t>合肥都市圈、南京都市圈核心城市，经济发展和城镇化建设</w:t>
      </w:r>
      <w:r>
        <w:rPr>
          <w:rFonts w:hint="eastAsia" w:ascii="仿宋" w:hAnsi="仿宋" w:eastAsia="仿宋"/>
          <w:sz w:val="32"/>
          <w:szCs w:val="32"/>
          <w:lang w:val="en-US"/>
        </w:rPr>
        <w:t>高速推进</w:t>
      </w:r>
      <w:r>
        <w:rPr>
          <w:rFonts w:hint="eastAsia" w:ascii="仿宋" w:hAnsi="仿宋" w:eastAsia="仿宋"/>
          <w:sz w:val="32"/>
          <w:szCs w:val="32"/>
        </w:rPr>
        <w:t>，</w:t>
      </w:r>
      <w:r>
        <w:rPr>
          <w:rFonts w:hint="eastAsia" w:ascii="仿宋" w:hAnsi="仿宋" w:eastAsia="仿宋"/>
          <w:sz w:val="32"/>
          <w:szCs w:val="32"/>
          <w:lang w:val="en-US"/>
        </w:rPr>
        <w:t>城市影响力逐步增强，重要</w:t>
      </w:r>
      <w:r>
        <w:rPr>
          <w:rFonts w:ascii="仿宋" w:hAnsi="仿宋" w:eastAsia="仿宋"/>
          <w:sz w:val="32"/>
          <w:szCs w:val="32"/>
          <w:lang w:val="en-US"/>
        </w:rPr>
        <w:t>会议、体育赛事、</w:t>
      </w:r>
      <w:r>
        <w:rPr>
          <w:rFonts w:hint="eastAsia" w:ascii="仿宋" w:hAnsi="仿宋" w:eastAsia="仿宋"/>
          <w:sz w:val="32"/>
          <w:szCs w:val="32"/>
          <w:lang w:val="en-US"/>
        </w:rPr>
        <w:t>文化</w:t>
      </w:r>
      <w:r>
        <w:rPr>
          <w:rFonts w:ascii="仿宋" w:hAnsi="仿宋" w:eastAsia="仿宋"/>
          <w:sz w:val="32"/>
          <w:szCs w:val="32"/>
          <w:lang w:val="en-US"/>
        </w:rPr>
        <w:t>展演等大型活动</w:t>
      </w:r>
      <w:r>
        <w:rPr>
          <w:rFonts w:hint="eastAsia" w:ascii="仿宋" w:hAnsi="仿宋" w:eastAsia="仿宋"/>
          <w:sz w:val="32"/>
          <w:szCs w:val="32"/>
          <w:lang w:val="en-US"/>
        </w:rPr>
        <w:t>日渐频繁，一旦</w:t>
      </w:r>
      <w:r>
        <w:rPr>
          <w:rFonts w:hint="eastAsia" w:ascii="仿宋" w:hAnsi="仿宋" w:eastAsia="仿宋"/>
          <w:sz w:val="32"/>
          <w:szCs w:val="32"/>
        </w:rPr>
        <w:t>发生火灾容易造成严重的社会影响和生命财产损失。</w:t>
      </w:r>
      <w:r>
        <w:rPr>
          <w:rFonts w:hint="eastAsia" w:ascii="仿宋" w:hAnsi="仿宋" w:eastAsia="仿宋"/>
          <w:b/>
          <w:bCs/>
          <w:sz w:val="32"/>
          <w:szCs w:val="32"/>
          <w:lang w:val="en-US"/>
        </w:rPr>
        <w:t>二是</w:t>
      </w:r>
      <w:r>
        <w:rPr>
          <w:rFonts w:hint="eastAsia" w:ascii="仿宋" w:hAnsi="仿宋" w:eastAsia="仿宋"/>
          <w:sz w:val="32"/>
          <w:szCs w:val="32"/>
        </w:rPr>
        <w:t>火灾发生的空间广域性更加明显，从</w:t>
      </w:r>
      <w:r>
        <w:rPr>
          <w:rFonts w:hint="eastAsia" w:ascii="仿宋" w:hAnsi="仿宋" w:eastAsia="仿宋"/>
          <w:sz w:val="32"/>
          <w:szCs w:val="32"/>
          <w:lang w:val="en-US"/>
        </w:rPr>
        <w:t>我市</w:t>
      </w:r>
      <w:r>
        <w:rPr>
          <w:rFonts w:hint="eastAsia" w:ascii="仿宋" w:hAnsi="仿宋" w:eastAsia="仿宋"/>
          <w:sz w:val="32"/>
          <w:szCs w:val="32"/>
        </w:rPr>
        <w:t>“十三五”时期的火灾分布态势看，虽然火灾的整体数量保持相对稳定，但其空间影响范围不断扩大，特别是中心城区外围的城乡结合部、</w:t>
      </w:r>
      <w:r>
        <w:rPr>
          <w:rFonts w:hint="eastAsia" w:ascii="仿宋" w:hAnsi="仿宋" w:eastAsia="仿宋"/>
          <w:sz w:val="32"/>
          <w:szCs w:val="32"/>
          <w:lang w:val="en-US"/>
        </w:rPr>
        <w:t>乡镇及</w:t>
      </w:r>
      <w:r>
        <w:rPr>
          <w:rFonts w:hint="eastAsia" w:ascii="仿宋" w:hAnsi="仿宋" w:eastAsia="仿宋"/>
          <w:sz w:val="32"/>
          <w:szCs w:val="32"/>
        </w:rPr>
        <w:t>周边农村地区，消防安全条件差，火灾</w:t>
      </w:r>
      <w:r>
        <w:rPr>
          <w:rFonts w:hint="eastAsia" w:ascii="仿宋" w:hAnsi="仿宋" w:eastAsia="仿宋"/>
          <w:sz w:val="32"/>
          <w:szCs w:val="32"/>
          <w:lang w:val="en-US"/>
        </w:rPr>
        <w:t>风险居高不下</w:t>
      </w:r>
      <w:r>
        <w:rPr>
          <w:rFonts w:hint="eastAsia" w:ascii="仿宋" w:hAnsi="仿宋" w:eastAsia="仿宋"/>
          <w:sz w:val="32"/>
          <w:szCs w:val="32"/>
        </w:rPr>
        <w:t>。</w:t>
      </w:r>
      <w:r>
        <w:rPr>
          <w:rFonts w:hint="eastAsia" w:ascii="仿宋" w:hAnsi="仿宋" w:eastAsia="仿宋"/>
          <w:b/>
          <w:bCs/>
          <w:sz w:val="32"/>
          <w:szCs w:val="32"/>
        </w:rPr>
        <w:t>三是</w:t>
      </w:r>
      <w:r>
        <w:rPr>
          <w:rFonts w:hint="eastAsia" w:ascii="仿宋" w:hAnsi="仿宋" w:eastAsia="仿宋"/>
          <w:sz w:val="32"/>
          <w:szCs w:val="32"/>
        </w:rPr>
        <w:t>火灾的空间差异性更加突出，各类生产、生活、生态空间的火灾分布差异性愈发突出，不同类型用地火灾空间分布和发生频率各具特点，火灾风险源和火灾危害性各不相同，城市建设区人员密集、经济密度高、火灾危险源集中，</w:t>
      </w:r>
      <w:r>
        <w:rPr>
          <w:rFonts w:hint="eastAsia" w:ascii="仿宋" w:hAnsi="仿宋" w:eastAsia="仿宋"/>
          <w:sz w:val="32"/>
          <w:szCs w:val="32"/>
          <w:lang w:val="en-US"/>
        </w:rPr>
        <w:t>发生较大以上</w:t>
      </w:r>
      <w:r>
        <w:rPr>
          <w:rFonts w:hint="eastAsia" w:ascii="仿宋" w:hAnsi="仿宋" w:eastAsia="仿宋"/>
          <w:sz w:val="32"/>
          <w:szCs w:val="32"/>
        </w:rPr>
        <w:t>火灾风险高；</w:t>
      </w:r>
      <w:r>
        <w:rPr>
          <w:rFonts w:hint="eastAsia" w:ascii="仿宋" w:hAnsi="仿宋" w:eastAsia="仿宋"/>
          <w:sz w:val="32"/>
          <w:szCs w:val="32"/>
          <w:lang w:val="en-US"/>
        </w:rPr>
        <w:t>乡镇区域</w:t>
      </w:r>
      <w:r>
        <w:rPr>
          <w:rFonts w:hint="eastAsia" w:ascii="仿宋" w:hAnsi="仿宋" w:eastAsia="仿宋"/>
          <w:sz w:val="32"/>
          <w:szCs w:val="32"/>
        </w:rPr>
        <w:t>违法建筑普遍、消防设施缺乏，火灾隐患存量大，极易发生“</w:t>
      </w:r>
      <w:r>
        <w:rPr>
          <w:rFonts w:hint="eastAsia" w:ascii="仿宋" w:hAnsi="仿宋" w:eastAsia="仿宋"/>
          <w:sz w:val="32"/>
          <w:szCs w:val="32"/>
          <w:lang w:val="en-US"/>
        </w:rPr>
        <w:t>小火亡人”</w:t>
      </w:r>
      <w:r>
        <w:rPr>
          <w:rFonts w:hint="eastAsia" w:ascii="仿宋" w:hAnsi="仿宋" w:eastAsia="仿宋"/>
          <w:sz w:val="32"/>
          <w:szCs w:val="32"/>
        </w:rPr>
        <w:t>事故。</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（二）应对处置各类灾害事故面临严峻挑战。</w:t>
      </w:r>
      <w:r>
        <w:rPr>
          <w:rFonts w:hint="eastAsia" w:ascii="仿宋" w:hAnsi="仿宋" w:eastAsia="仿宋"/>
          <w:sz w:val="32"/>
          <w:szCs w:val="32"/>
        </w:rPr>
        <w:t>消防改制转隶以来，国家组建综合性消防救援队伍，承担着有效应对各类灾害事故的重要职责，其职能使命从处置“单一灾种”向应对“全灾种、大应急”转变，不再局限于传统的防火灭火、抢险救援和社会救助，而是扩大到包括地震、抗洪抢险排涝、建筑物坍塌、道路救援、危险化学品、森林火灾、突发公共卫生事件等各类灾害事故的处置。面对新职能、新使命、新要求，面对从常规单一“灭火救援”向“综合性消防救援”转型升级要求，全市消防救援队伍还存在救援力量较弱、车辆装备不精良、信息沟通不顺畅、实战训练基础设施滞后等问题，与消防救援队伍承担的繁重任务还不相适应。如何尽快补齐短板，切实提高各类灾害事故处置能力，建设一支专常兼备、反应灵敏、作风过硬、本领高强的消防救援队伍面临着巨大挑战。</w:t>
      </w:r>
    </w:p>
    <w:p>
      <w:pPr>
        <w:spacing w:line="600" w:lineRule="exact"/>
        <w:ind w:firstLine="0" w:firstLineChars="0"/>
        <w:jc w:val="center"/>
        <w:rPr>
          <w:rFonts w:eastAsia="黑体"/>
          <w:bCs/>
          <w:szCs w:val="28"/>
        </w:rPr>
      </w:pPr>
      <w:r>
        <w:rPr>
          <w:rFonts w:hint="eastAsia" w:eastAsia="黑体"/>
          <w:bCs/>
          <w:szCs w:val="28"/>
        </w:rPr>
        <w:t>表１：“十四五”时期滁州市消防救援形势</w:t>
      </w:r>
    </w:p>
    <w:tbl>
      <w:tblPr>
        <w:tblStyle w:val="28"/>
        <w:tblW w:w="0" w:type="auto"/>
        <w:jc w:val="center"/>
        <w:tblLayout w:type="autofit"/>
        <w:tblCellMar>
          <w:top w:w="0" w:type="dxa"/>
          <w:left w:w="108" w:type="dxa"/>
          <w:bottom w:w="0" w:type="dxa"/>
          <w:right w:w="108" w:type="dxa"/>
        </w:tblCellMar>
      </w:tblPr>
      <w:tblGrid>
        <w:gridCol w:w="8302"/>
      </w:tblGrid>
      <w:tr>
        <w:tblPrEx>
          <w:tblCellMar>
            <w:top w:w="0" w:type="dxa"/>
            <w:left w:w="108" w:type="dxa"/>
            <w:bottom w:w="0" w:type="dxa"/>
            <w:right w:w="108" w:type="dxa"/>
          </w:tblCellMar>
        </w:tblPrEx>
        <w:trPr>
          <w:jc w:val="center"/>
        </w:trPr>
        <w:tc>
          <w:tcPr>
            <w:tcW w:w="8302" w:type="dxa"/>
          </w:tcPr>
          <w:tbl>
            <w:tblPr>
              <w:tblStyle w:val="28"/>
              <w:tblW w:w="0" w:type="auto"/>
              <w:tblInd w:w="0" w:type="dxa"/>
              <w:tblLayout w:type="autofit"/>
              <w:tblCellMar>
                <w:top w:w="0" w:type="dxa"/>
                <w:left w:w="108" w:type="dxa"/>
                <w:bottom w:w="0" w:type="dxa"/>
                <w:right w:w="108" w:type="dxa"/>
              </w:tblCellMar>
            </w:tblPr>
            <w:tblGrid>
              <w:gridCol w:w="8076"/>
            </w:tblGrid>
            <w:tr>
              <w:tc>
                <w:tcPr>
                  <w:tcW w:w="8076" w:type="dxa"/>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50" w:type="dxa"/>
                      </w:tcPr>
                      <w:p>
                        <w:pPr>
                          <w:spacing w:line="500" w:lineRule="exact"/>
                          <w:ind w:firstLine="562"/>
                          <w:jc w:val="both"/>
                          <w:rPr>
                            <w:rFonts w:ascii="仿宋" w:hAnsi="仿宋" w:eastAsia="仿宋"/>
                            <w:szCs w:val="28"/>
                          </w:rPr>
                        </w:pPr>
                        <w:r>
                          <w:rPr>
                            <w:rFonts w:ascii="仿宋" w:hAnsi="仿宋" w:eastAsia="仿宋"/>
                            <w:b/>
                            <w:szCs w:val="28"/>
                          </w:rPr>
                          <w:t>——</w:t>
                        </w:r>
                        <w:r>
                          <w:rPr>
                            <w:rFonts w:hint="eastAsia" w:ascii="仿宋" w:hAnsi="仿宋" w:eastAsia="仿宋"/>
                            <w:b/>
                            <w:szCs w:val="28"/>
                          </w:rPr>
                          <w:t>城市格局变化带来的新形势。</w:t>
                        </w:r>
                        <w:r>
                          <w:rPr>
                            <w:rFonts w:hint="eastAsia" w:ascii="仿宋" w:hAnsi="仿宋" w:eastAsia="仿宋"/>
                            <w:szCs w:val="28"/>
                          </w:rPr>
                          <w:t>“十四五”</w:t>
                        </w:r>
                        <w:r>
                          <w:rPr>
                            <w:rFonts w:hint="eastAsia" w:ascii="仿宋" w:hAnsi="仿宋" w:eastAsia="仿宋"/>
                            <w:szCs w:val="28"/>
                            <w:lang w:val="en-US"/>
                          </w:rPr>
                          <w:t>时期</w:t>
                        </w:r>
                        <w:r>
                          <w:rPr>
                            <w:rFonts w:hint="eastAsia" w:ascii="仿宋" w:hAnsi="仿宋" w:eastAsia="仿宋"/>
                            <w:szCs w:val="28"/>
                          </w:rPr>
                          <w:t>，滁州“一主四副”新格局</w:t>
                        </w:r>
                        <w:r>
                          <w:rPr>
                            <w:rFonts w:hint="eastAsia" w:ascii="仿宋" w:hAnsi="仿宋" w:eastAsia="仿宋"/>
                            <w:szCs w:val="28"/>
                            <w:lang w:val="en-US"/>
                          </w:rPr>
                          <w:t>将</w:t>
                        </w:r>
                        <w:r>
                          <w:rPr>
                            <w:rFonts w:hint="eastAsia" w:ascii="仿宋" w:hAnsi="仿宋" w:eastAsia="仿宋"/>
                            <w:szCs w:val="28"/>
                          </w:rPr>
                          <w:t>形成，主城区人口超1</w:t>
                        </w:r>
                        <w:r>
                          <w:rPr>
                            <w:rFonts w:ascii="仿宋" w:hAnsi="仿宋" w:eastAsia="仿宋"/>
                            <w:szCs w:val="28"/>
                          </w:rPr>
                          <w:t>20</w:t>
                        </w:r>
                        <w:r>
                          <w:rPr>
                            <w:rFonts w:hint="eastAsia" w:ascii="仿宋" w:hAnsi="仿宋" w:eastAsia="仿宋"/>
                            <w:szCs w:val="28"/>
                          </w:rPr>
                          <w:t>万，常住人口城镇化率</w:t>
                        </w:r>
                        <w:r>
                          <w:rPr>
                            <w:rFonts w:hint="eastAsia" w:ascii="仿宋" w:hAnsi="仿宋" w:eastAsia="仿宋"/>
                            <w:szCs w:val="28"/>
                            <w:lang w:val="en-US"/>
                          </w:rPr>
                          <w:t>达</w:t>
                        </w:r>
                        <w:r>
                          <w:rPr>
                            <w:rFonts w:hint="eastAsia" w:ascii="仿宋" w:hAnsi="仿宋" w:eastAsia="仿宋"/>
                            <w:szCs w:val="28"/>
                          </w:rPr>
                          <w:t>65%，</w:t>
                        </w:r>
                        <w:r>
                          <w:rPr>
                            <w:rFonts w:hint="eastAsia" w:ascii="仿宋" w:hAnsi="仿宋" w:eastAsia="仿宋"/>
                            <w:szCs w:val="28"/>
                            <w:lang w:val="en-US"/>
                          </w:rPr>
                          <w:t>伴随</w:t>
                        </w:r>
                        <w:r>
                          <w:rPr>
                            <w:rFonts w:hint="eastAsia" w:ascii="仿宋" w:hAnsi="仿宋" w:eastAsia="仿宋"/>
                            <w:szCs w:val="28"/>
                          </w:rPr>
                          <w:t>“东部大江北协同发展区”和“西部大工业基地”</w:t>
                        </w:r>
                        <w:r>
                          <w:rPr>
                            <w:rFonts w:hint="eastAsia" w:ascii="仿宋" w:hAnsi="仿宋" w:eastAsia="仿宋"/>
                            <w:szCs w:val="28"/>
                            <w:lang w:val="en-US"/>
                          </w:rPr>
                          <w:t>的建设发展</w:t>
                        </w:r>
                        <w:r>
                          <w:rPr>
                            <w:rFonts w:hint="eastAsia" w:ascii="仿宋" w:hAnsi="仿宋" w:eastAsia="仿宋"/>
                            <w:szCs w:val="28"/>
                          </w:rPr>
                          <w:t>，各种新业态、新场所、高层与地下综合体、新型化工企业、生产性服务业等大量增加，使得潜在</w:t>
                        </w:r>
                        <w:r>
                          <w:rPr>
                            <w:rFonts w:hint="eastAsia" w:ascii="仿宋" w:hAnsi="仿宋" w:eastAsia="仿宋"/>
                            <w:szCs w:val="28"/>
                            <w:lang w:val="en-US"/>
                          </w:rPr>
                          <w:t>火灾风险将</w:t>
                        </w:r>
                        <w:r>
                          <w:rPr>
                            <w:rFonts w:hint="eastAsia" w:ascii="仿宋" w:hAnsi="仿宋" w:eastAsia="仿宋"/>
                            <w:szCs w:val="28"/>
                          </w:rPr>
                          <w:t>大幅增长，带来消防救援新挑战。</w:t>
                        </w:r>
                      </w:p>
                      <w:p>
                        <w:pPr>
                          <w:spacing w:line="500" w:lineRule="exact"/>
                          <w:ind w:firstLine="562"/>
                          <w:jc w:val="both"/>
                          <w:rPr>
                            <w:rFonts w:ascii="仿宋" w:hAnsi="仿宋" w:eastAsia="仿宋"/>
                            <w:szCs w:val="28"/>
                          </w:rPr>
                        </w:pPr>
                        <w:r>
                          <w:rPr>
                            <w:rFonts w:ascii="仿宋" w:hAnsi="仿宋" w:eastAsia="仿宋"/>
                            <w:b/>
                            <w:szCs w:val="28"/>
                          </w:rPr>
                          <w:t>——</w:t>
                        </w:r>
                        <w:r>
                          <w:rPr>
                            <w:rFonts w:hint="eastAsia" w:ascii="仿宋" w:hAnsi="仿宋" w:eastAsia="仿宋"/>
                            <w:b/>
                            <w:szCs w:val="28"/>
                          </w:rPr>
                          <w:t>水域救援形势。</w:t>
                        </w:r>
                        <w:r>
                          <w:rPr>
                            <w:rFonts w:hint="eastAsia" w:ascii="仿宋" w:hAnsi="仿宋" w:eastAsia="仿宋"/>
                            <w:szCs w:val="28"/>
                          </w:rPr>
                          <w:t>滁州位于江淮分水岭，市域南部属长江流域，北部属淮河流域，长江流域约占市域面积的</w:t>
                        </w:r>
                        <w:r>
                          <w:rPr>
                            <w:rFonts w:ascii="仿宋" w:hAnsi="仿宋" w:eastAsia="仿宋"/>
                            <w:szCs w:val="28"/>
                          </w:rPr>
                          <w:t>34%</w:t>
                        </w:r>
                        <w:r>
                          <w:rPr>
                            <w:rFonts w:hint="eastAsia" w:ascii="仿宋" w:hAnsi="仿宋" w:eastAsia="仿宋"/>
                            <w:szCs w:val="28"/>
                          </w:rPr>
                          <w:t>，淮河流域约占市域面积的</w:t>
                        </w:r>
                        <w:r>
                          <w:rPr>
                            <w:rFonts w:ascii="仿宋" w:hAnsi="仿宋" w:eastAsia="仿宋"/>
                            <w:szCs w:val="28"/>
                          </w:rPr>
                          <w:t>66%</w:t>
                        </w:r>
                        <w:r>
                          <w:rPr>
                            <w:rFonts w:hint="eastAsia" w:ascii="仿宋" w:hAnsi="仿宋" w:eastAsia="仿宋"/>
                            <w:szCs w:val="28"/>
                          </w:rPr>
                          <w:t>，境内河流有淮河干流水系、滁河水系和高邮湖水系，蓄洪区７处，总面积</w:t>
                        </w:r>
                        <w:r>
                          <w:rPr>
                            <w:rFonts w:ascii="仿宋" w:hAnsi="仿宋" w:eastAsia="仿宋"/>
                            <w:szCs w:val="28"/>
                          </w:rPr>
                          <w:t>345.6</w:t>
                        </w:r>
                        <w:r>
                          <w:rPr>
                            <w:rFonts w:hint="eastAsia" w:ascii="仿宋" w:hAnsi="仿宋" w:eastAsia="仿宋"/>
                            <w:szCs w:val="28"/>
                          </w:rPr>
                          <w:t>平方公里，防洪减灾和抗洪抢险救援需求较大。</w:t>
                        </w:r>
                      </w:p>
                      <w:p>
                        <w:pPr>
                          <w:spacing w:line="500" w:lineRule="exact"/>
                          <w:ind w:firstLine="562"/>
                          <w:jc w:val="both"/>
                          <w:rPr>
                            <w:rFonts w:ascii="仿宋" w:hAnsi="仿宋" w:eastAsia="仿宋"/>
                            <w:szCs w:val="28"/>
                          </w:rPr>
                        </w:pPr>
                        <w:r>
                          <w:rPr>
                            <w:rFonts w:hint="eastAsia" w:ascii="仿宋" w:hAnsi="仿宋" w:eastAsia="仿宋"/>
                            <w:b/>
                            <w:szCs w:val="28"/>
                          </w:rPr>
                          <w:t>——森林消防救援</w:t>
                        </w:r>
                        <w:r>
                          <w:rPr>
                            <w:rFonts w:hint="eastAsia" w:ascii="仿宋" w:hAnsi="仿宋" w:eastAsia="仿宋"/>
                            <w:b/>
                            <w:szCs w:val="28"/>
                            <w:lang w:val="en-US"/>
                          </w:rPr>
                          <w:t>形势</w:t>
                        </w:r>
                        <w:r>
                          <w:rPr>
                            <w:rFonts w:hint="eastAsia" w:ascii="仿宋" w:hAnsi="仿宋" w:eastAsia="仿宋"/>
                            <w:b/>
                            <w:szCs w:val="28"/>
                          </w:rPr>
                          <w:t>。</w:t>
                        </w:r>
                        <w:r>
                          <w:rPr>
                            <w:rFonts w:hint="eastAsia" w:ascii="仿宋" w:hAnsi="仿宋" w:eastAsia="仿宋"/>
                            <w:szCs w:val="28"/>
                            <w:lang w:val="en-US"/>
                          </w:rPr>
                          <w:t>至“十三五”末</w:t>
                        </w:r>
                        <w:r>
                          <w:rPr>
                            <w:rFonts w:hint="eastAsia" w:ascii="仿宋" w:hAnsi="仿宋" w:eastAsia="仿宋"/>
                            <w:szCs w:val="28"/>
                          </w:rPr>
                          <w:t>，滁州市森林覆盖率达35.86%,高于全国平均水平,林木蓄积量达到320万立方米，林业总产值达到30亿元以上，林农林业综合性收入年均增长10%。龙源来安三湾、远景定远、吉电定远界牌等风电项目装机容量达到50万千瓦，且多处于丘陵森林地带，森林与风电站设备保护的消防救援需求相互交织。</w:t>
                        </w:r>
                      </w:p>
                      <w:p>
                        <w:pPr>
                          <w:spacing w:line="500" w:lineRule="exact"/>
                          <w:ind w:firstLine="562"/>
                          <w:jc w:val="both"/>
                          <w:rPr>
                            <w:rFonts w:ascii="仿宋" w:hAnsi="仿宋" w:eastAsia="仿宋"/>
                            <w:szCs w:val="28"/>
                          </w:rPr>
                        </w:pPr>
                        <w:r>
                          <w:rPr>
                            <w:rFonts w:hint="eastAsia" w:ascii="仿宋" w:hAnsi="仿宋" w:eastAsia="仿宋"/>
                            <w:b/>
                            <w:szCs w:val="28"/>
                          </w:rPr>
                          <w:t>——能源体系和新能源</w:t>
                        </w:r>
                        <w:r>
                          <w:rPr>
                            <w:rFonts w:hint="eastAsia" w:ascii="仿宋" w:hAnsi="仿宋" w:eastAsia="仿宋"/>
                            <w:b/>
                            <w:szCs w:val="28"/>
                            <w:lang w:val="en-US"/>
                          </w:rPr>
                          <w:t>产业救援形势</w:t>
                        </w:r>
                        <w:r>
                          <w:rPr>
                            <w:rFonts w:hint="eastAsia" w:ascii="仿宋" w:hAnsi="仿宋" w:eastAsia="仿宋"/>
                            <w:b/>
                            <w:szCs w:val="28"/>
                          </w:rPr>
                          <w:t>。</w:t>
                        </w:r>
                        <w:r>
                          <w:rPr>
                            <w:rFonts w:hint="eastAsia" w:ascii="仿宋" w:hAnsi="仿宋" w:eastAsia="仿宋"/>
                            <w:szCs w:val="28"/>
                          </w:rPr>
                          <w:t>“十四五”</w:t>
                        </w:r>
                        <w:r>
                          <w:rPr>
                            <w:rFonts w:hint="eastAsia" w:ascii="仿宋" w:hAnsi="仿宋" w:eastAsia="仿宋"/>
                            <w:szCs w:val="28"/>
                            <w:lang w:val="en-US"/>
                          </w:rPr>
                          <w:t>时期</w:t>
                        </w:r>
                        <w:r>
                          <w:rPr>
                            <w:rFonts w:hint="eastAsia" w:ascii="仿宋" w:hAnsi="仿宋" w:eastAsia="仿宋"/>
                            <w:szCs w:val="28"/>
                          </w:rPr>
                          <w:t>，</w:t>
                        </w:r>
                        <w:r>
                          <w:rPr>
                            <w:rFonts w:hint="eastAsia" w:ascii="仿宋" w:hAnsi="仿宋" w:eastAsia="仿宋"/>
                            <w:szCs w:val="28"/>
                            <w:lang w:val="en-US"/>
                          </w:rPr>
                          <w:t>全市</w:t>
                        </w:r>
                        <w:r>
                          <w:rPr>
                            <w:rFonts w:hint="eastAsia" w:ascii="仿宋" w:hAnsi="仿宋" w:eastAsia="仿宋"/>
                            <w:szCs w:val="28"/>
                          </w:rPr>
                          <w:t>将持续推进构建220千伏环网结构，并基本形成500千伏主网架构，新建500千伏变电站4-5座。</w:t>
                        </w:r>
                        <w:r>
                          <w:rPr>
                            <w:rFonts w:hint="eastAsia" w:ascii="仿宋" w:hAnsi="仿宋" w:eastAsia="仿宋"/>
                            <w:szCs w:val="28"/>
                            <w:lang w:val="en-US"/>
                          </w:rPr>
                          <w:t>我市</w:t>
                        </w:r>
                        <w:r>
                          <w:rPr>
                            <w:rFonts w:hint="eastAsia" w:ascii="仿宋" w:hAnsi="仿宋" w:eastAsia="仿宋"/>
                            <w:szCs w:val="28"/>
                          </w:rPr>
                          <w:t>将加快滨海L</w:t>
                        </w:r>
                        <w:r>
                          <w:rPr>
                            <w:rFonts w:ascii="仿宋" w:hAnsi="仿宋" w:eastAsia="仿宋"/>
                            <w:szCs w:val="28"/>
                          </w:rPr>
                          <w:t>NG</w:t>
                        </w:r>
                        <w:r>
                          <w:rPr>
                            <w:rFonts w:hint="eastAsia" w:ascii="仿宋" w:hAnsi="仿宋" w:eastAsia="仿宋"/>
                            <w:szCs w:val="28"/>
                          </w:rPr>
                          <w:t>接收站配套管线滁州段和中石化青宁线入皖滁州线等项目建设，沿线区县（市）分别建设L</w:t>
                        </w:r>
                        <w:r>
                          <w:rPr>
                            <w:rFonts w:ascii="仿宋" w:hAnsi="仿宋" w:eastAsia="仿宋"/>
                            <w:szCs w:val="28"/>
                          </w:rPr>
                          <w:t>NG</w:t>
                        </w:r>
                        <w:r>
                          <w:rPr>
                            <w:rFonts w:hint="eastAsia" w:ascii="仿宋" w:hAnsi="仿宋" w:eastAsia="仿宋"/>
                            <w:szCs w:val="28"/>
                          </w:rPr>
                          <w:t>调峰储备站。在新能源工业方面，规划进一步加强动力电池、电机等配套能力建设，并加快培育具有较强竞争力的新能源汽车产业集群，力争规上企业达1</w:t>
                        </w:r>
                        <w:r>
                          <w:rPr>
                            <w:rFonts w:ascii="仿宋" w:hAnsi="仿宋" w:eastAsia="仿宋"/>
                            <w:szCs w:val="28"/>
                          </w:rPr>
                          <w:t>00</w:t>
                        </w:r>
                        <w:r>
                          <w:rPr>
                            <w:rFonts w:hint="eastAsia" w:ascii="仿宋" w:hAnsi="仿宋" w:eastAsia="仿宋"/>
                            <w:szCs w:val="28"/>
                          </w:rPr>
                          <w:t>家，产值超1</w:t>
                        </w:r>
                        <w:r>
                          <w:rPr>
                            <w:rFonts w:ascii="仿宋" w:hAnsi="仿宋" w:eastAsia="仿宋"/>
                            <w:szCs w:val="28"/>
                          </w:rPr>
                          <w:t>000</w:t>
                        </w:r>
                        <w:r>
                          <w:rPr>
                            <w:rFonts w:hint="eastAsia" w:ascii="仿宋" w:hAnsi="仿宋" w:eastAsia="仿宋"/>
                            <w:szCs w:val="28"/>
                          </w:rPr>
                          <w:t>亿元，针对新能源体系和新能源工业安全的消防救援需求进一步加大。</w:t>
                        </w:r>
                      </w:p>
                      <w:p>
                        <w:pPr>
                          <w:spacing w:line="500" w:lineRule="exact"/>
                          <w:ind w:firstLine="562"/>
                          <w:jc w:val="both"/>
                          <w:rPr>
                            <w:rFonts w:ascii="仿宋" w:hAnsi="仿宋" w:eastAsia="仿宋"/>
                            <w:szCs w:val="28"/>
                          </w:rPr>
                        </w:pPr>
                        <w:r>
                          <w:rPr>
                            <w:rFonts w:hint="eastAsia" w:ascii="仿宋" w:hAnsi="仿宋" w:eastAsia="仿宋"/>
                            <w:b/>
                            <w:szCs w:val="28"/>
                          </w:rPr>
                          <w:t>——新型化工产业</w:t>
                        </w:r>
                        <w:r>
                          <w:rPr>
                            <w:rFonts w:hint="eastAsia" w:ascii="仿宋" w:hAnsi="仿宋" w:eastAsia="仿宋"/>
                            <w:b/>
                            <w:szCs w:val="28"/>
                            <w:lang w:val="en-US"/>
                          </w:rPr>
                          <w:t>救援形势</w:t>
                        </w:r>
                        <w:r>
                          <w:rPr>
                            <w:rFonts w:hint="eastAsia" w:ascii="仿宋" w:hAnsi="仿宋" w:eastAsia="仿宋"/>
                            <w:b/>
                            <w:szCs w:val="28"/>
                          </w:rPr>
                          <w:t>。</w:t>
                        </w:r>
                        <w:bookmarkStart w:id="13" w:name="_Hlk88426632"/>
                        <w:r>
                          <w:rPr>
                            <w:rFonts w:hint="eastAsia" w:ascii="仿宋" w:hAnsi="仿宋" w:eastAsia="仿宋"/>
                            <w:szCs w:val="28"/>
                          </w:rPr>
                          <w:t>滁州是安徽三大化工生产基地之一，包括来安、全椒、天长、明光、定远</w:t>
                        </w:r>
                        <w:r>
                          <w:rPr>
                            <w:rFonts w:ascii="仿宋" w:hAnsi="仿宋" w:eastAsia="仿宋"/>
                            <w:szCs w:val="28"/>
                          </w:rPr>
                          <w:t>5</w:t>
                        </w:r>
                        <w:r>
                          <w:rPr>
                            <w:rFonts w:hint="eastAsia" w:ascii="仿宋" w:hAnsi="仿宋" w:eastAsia="仿宋"/>
                            <w:szCs w:val="28"/>
                          </w:rPr>
                          <w:t>个化工园区，总面积</w:t>
                        </w:r>
                        <w:r>
                          <w:rPr>
                            <w:rFonts w:ascii="仿宋" w:hAnsi="仿宋" w:eastAsia="仿宋"/>
                            <w:szCs w:val="28"/>
                          </w:rPr>
                          <w:t>28.82</w:t>
                        </w:r>
                        <w:r>
                          <w:rPr>
                            <w:rFonts w:hint="eastAsia" w:ascii="仿宋" w:hAnsi="仿宋" w:eastAsia="仿宋"/>
                            <w:szCs w:val="28"/>
                          </w:rPr>
                          <w:t>平方公里，规模以上化工企业1</w:t>
                        </w:r>
                        <w:r>
                          <w:rPr>
                            <w:rFonts w:ascii="仿宋" w:hAnsi="仿宋" w:eastAsia="仿宋"/>
                            <w:szCs w:val="28"/>
                          </w:rPr>
                          <w:t>00</w:t>
                        </w:r>
                        <w:r>
                          <w:rPr>
                            <w:rFonts w:hint="eastAsia" w:ascii="仿宋" w:hAnsi="仿宋" w:eastAsia="仿宋"/>
                            <w:szCs w:val="28"/>
                          </w:rPr>
                          <w:t>多家，一类危险源9处、二类危险源1</w:t>
                        </w:r>
                        <w:r>
                          <w:rPr>
                            <w:rFonts w:ascii="仿宋" w:hAnsi="仿宋" w:eastAsia="仿宋"/>
                            <w:szCs w:val="28"/>
                          </w:rPr>
                          <w:t>2</w:t>
                        </w:r>
                        <w:r>
                          <w:rPr>
                            <w:rFonts w:hint="eastAsia" w:ascii="仿宋" w:hAnsi="仿宋" w:eastAsia="仿宋"/>
                            <w:szCs w:val="28"/>
                          </w:rPr>
                          <w:t>处、三类危险源</w:t>
                        </w:r>
                        <w:r>
                          <w:rPr>
                            <w:rFonts w:ascii="仿宋" w:hAnsi="仿宋" w:eastAsia="仿宋"/>
                            <w:szCs w:val="28"/>
                          </w:rPr>
                          <w:t>43</w:t>
                        </w:r>
                        <w:r>
                          <w:rPr>
                            <w:rFonts w:hint="eastAsia" w:ascii="仿宋" w:hAnsi="仿宋" w:eastAsia="仿宋"/>
                            <w:szCs w:val="28"/>
                          </w:rPr>
                          <w:t>处、四类危险源3</w:t>
                        </w:r>
                        <w:r>
                          <w:rPr>
                            <w:rFonts w:ascii="仿宋" w:hAnsi="仿宋" w:eastAsia="仿宋"/>
                            <w:szCs w:val="28"/>
                          </w:rPr>
                          <w:t>5</w:t>
                        </w:r>
                        <w:r>
                          <w:rPr>
                            <w:rFonts w:hint="eastAsia" w:ascii="仿宋" w:hAnsi="仿宋" w:eastAsia="仿宋"/>
                            <w:szCs w:val="28"/>
                          </w:rPr>
                          <w:t>处，</w:t>
                        </w:r>
                        <w:r>
                          <w:rPr>
                            <w:rFonts w:hint="eastAsia" w:ascii="仿宋" w:hAnsi="仿宋" w:eastAsia="仿宋"/>
                            <w:szCs w:val="28"/>
                            <w:lang w:val="en-US"/>
                          </w:rPr>
                          <w:t>甲乙类库房总计135座，伴随滁州承接更多化工企业的产业转移，全市化工消防安全风险骤增，化工救援形势愈发严峻。</w:t>
                        </w:r>
                        <w:bookmarkEnd w:id="13"/>
                      </w:p>
                      <w:p>
                        <w:pPr>
                          <w:spacing w:line="500" w:lineRule="exact"/>
                          <w:ind w:firstLine="562"/>
                          <w:jc w:val="both"/>
                          <w:rPr>
                            <w:rFonts w:ascii="仿宋" w:hAnsi="仿宋" w:eastAsia="仿宋"/>
                            <w:szCs w:val="28"/>
                            <w:lang w:val="en-US"/>
                          </w:rPr>
                        </w:pPr>
                        <w:r>
                          <w:rPr>
                            <w:rFonts w:hint="eastAsia" w:ascii="仿宋" w:hAnsi="仿宋" w:eastAsia="仿宋"/>
                            <w:b/>
                            <w:szCs w:val="28"/>
                          </w:rPr>
                          <w:t>——交通救援</w:t>
                        </w:r>
                        <w:r>
                          <w:rPr>
                            <w:rFonts w:hint="eastAsia" w:ascii="仿宋" w:hAnsi="仿宋" w:eastAsia="仿宋"/>
                            <w:b/>
                            <w:szCs w:val="28"/>
                            <w:lang w:val="en-US"/>
                          </w:rPr>
                          <w:t>形势</w:t>
                        </w:r>
                        <w:r>
                          <w:rPr>
                            <w:rFonts w:hint="eastAsia" w:ascii="仿宋" w:hAnsi="仿宋" w:eastAsia="仿宋"/>
                            <w:b/>
                            <w:szCs w:val="28"/>
                          </w:rPr>
                          <w:t>。</w:t>
                        </w:r>
                        <w:r>
                          <w:rPr>
                            <w:rFonts w:hint="eastAsia" w:ascii="仿宋" w:hAnsi="仿宋" w:eastAsia="仿宋"/>
                            <w:szCs w:val="28"/>
                          </w:rPr>
                          <w:t>“十四五”</w:t>
                        </w:r>
                        <w:r>
                          <w:rPr>
                            <w:rFonts w:hint="eastAsia" w:ascii="仿宋" w:hAnsi="仿宋" w:eastAsia="仿宋"/>
                            <w:szCs w:val="28"/>
                            <w:lang w:val="en-US"/>
                          </w:rPr>
                          <w:t>时期</w:t>
                        </w:r>
                        <w:r>
                          <w:rPr>
                            <w:rFonts w:hint="eastAsia" w:ascii="仿宋" w:hAnsi="仿宋" w:eastAsia="仿宋"/>
                            <w:szCs w:val="28"/>
                          </w:rPr>
                          <w:t>，</w:t>
                        </w:r>
                        <w:r>
                          <w:rPr>
                            <w:rFonts w:hint="eastAsia" w:ascii="仿宋" w:hAnsi="仿宋" w:eastAsia="仿宋"/>
                            <w:szCs w:val="28"/>
                            <w:lang w:val="en-US"/>
                          </w:rPr>
                          <w:t>我市</w:t>
                        </w:r>
                        <w:r>
                          <w:rPr>
                            <w:rFonts w:hint="eastAsia" w:ascii="仿宋" w:hAnsi="仿宋" w:eastAsia="仿宋"/>
                            <w:szCs w:val="28"/>
                          </w:rPr>
                          <w:t>将</w:t>
                        </w:r>
                        <w:r>
                          <w:rPr>
                            <w:rFonts w:hint="eastAsia" w:ascii="仿宋" w:hAnsi="仿宋" w:eastAsia="仿宋"/>
                            <w:szCs w:val="28"/>
                            <w:lang w:val="en-US"/>
                          </w:rPr>
                          <w:t>完成</w:t>
                        </w:r>
                        <w:r>
                          <w:rPr>
                            <w:rFonts w:hint="eastAsia" w:ascii="仿宋" w:hAnsi="仿宋" w:eastAsia="仿宋"/>
                            <w:szCs w:val="28"/>
                          </w:rPr>
                          <w:t>滁宁城际铁路一号线(其中地下里程为5.62公里)、北沿江高</w:t>
                        </w:r>
                        <w:r>
                          <w:rPr>
                            <w:rFonts w:hint="eastAsia" w:ascii="仿宋" w:hAnsi="仿宋" w:eastAsia="仿宋"/>
                            <w:szCs w:val="28"/>
                            <w:lang w:val="en-US"/>
                          </w:rPr>
                          <w:t>铁合宁段、合新高铁等一批轨道项目，境内铁路总里程将达700公里。高速公路将完成“五纵四横”工程，通车里程将达1000公里以上，一级公路总里程将达1000公里以上。交通流的复杂增加了交通</w:t>
                        </w:r>
                        <w:r>
                          <w:rPr>
                            <w:rFonts w:hint="eastAsia" w:ascii="仿宋" w:hAnsi="仿宋" w:eastAsia="仿宋"/>
                            <w:szCs w:val="28"/>
                          </w:rPr>
                          <w:t>救援的压力，同时也带来了轨道</w:t>
                        </w:r>
                        <w:r>
                          <w:rPr>
                            <w:rFonts w:hint="eastAsia" w:ascii="仿宋" w:hAnsi="仿宋" w:eastAsia="仿宋"/>
                            <w:szCs w:val="28"/>
                            <w:lang w:val="en-US"/>
                          </w:rPr>
                          <w:t>救援的新课题。</w:t>
                        </w:r>
                      </w:p>
                      <w:p>
                        <w:pPr>
                          <w:spacing w:line="500" w:lineRule="exact"/>
                          <w:ind w:firstLine="562"/>
                          <w:jc w:val="both"/>
                          <w:rPr>
                            <w:rFonts w:ascii="仿宋" w:hAnsi="仿宋" w:eastAsia="仿宋"/>
                            <w:szCs w:val="28"/>
                            <w:lang w:val="en-US"/>
                          </w:rPr>
                        </w:pPr>
                        <w:r>
                          <w:rPr>
                            <w:rFonts w:hint="eastAsia" w:ascii="仿宋" w:hAnsi="仿宋" w:eastAsia="仿宋"/>
                            <w:b/>
                            <w:szCs w:val="28"/>
                            <w:lang w:val="en-US"/>
                          </w:rPr>
                          <w:t>——地震救援形势。</w:t>
                        </w:r>
                        <w:r>
                          <w:rPr>
                            <w:rFonts w:hint="eastAsia" w:ascii="仿宋" w:hAnsi="仿宋" w:eastAsia="仿宋"/>
                            <w:szCs w:val="28"/>
                            <w:lang w:val="en-US"/>
                          </w:rPr>
                          <w:t>滁州市境内有郯庐、滁河、来安－溧阳三条地震断裂带，按省消防救援总队的要求，滁州市应该具备应对本地轻型地震救援能力和面对重型地震跨区域增援能力。</w:t>
                        </w:r>
                      </w:p>
                      <w:p>
                        <w:pPr>
                          <w:spacing w:line="500" w:lineRule="exact"/>
                          <w:ind w:firstLine="562"/>
                          <w:jc w:val="both"/>
                          <w:rPr>
                            <w:rFonts w:ascii="仿宋" w:hAnsi="仿宋" w:eastAsia="仿宋"/>
                            <w:szCs w:val="28"/>
                          </w:rPr>
                        </w:pPr>
                        <w:r>
                          <w:rPr>
                            <w:rFonts w:hint="eastAsia" w:ascii="仿宋" w:hAnsi="仿宋" w:eastAsia="仿宋"/>
                            <w:b/>
                            <w:szCs w:val="28"/>
                            <w:lang w:val="en-US"/>
                          </w:rPr>
                          <w:t>——突发公共卫生事件处置形势。</w:t>
                        </w:r>
                        <w:r>
                          <w:rPr>
                            <w:rFonts w:hint="eastAsia" w:ascii="仿宋" w:hAnsi="仿宋" w:eastAsia="仿宋"/>
                            <w:szCs w:val="28"/>
                            <w:lang w:val="en-US"/>
                          </w:rPr>
                          <w:t>2020年爆发的新冠肺炎疫情，给多种灾害叠加情况下</w:t>
                        </w:r>
                        <w:r>
                          <w:rPr>
                            <w:rFonts w:hint="eastAsia" w:ascii="仿宋" w:hAnsi="仿宋" w:eastAsia="仿宋"/>
                            <w:szCs w:val="28"/>
                          </w:rPr>
                          <w:t>的消防救援和基层消防救援体系建设提出了新课题,消防救援工作面临的情况越来越复杂，任务越来越重，要求越来越高。</w:t>
                        </w:r>
                      </w:p>
                    </w:tc>
                  </w:tr>
                </w:tbl>
                <w:p>
                  <w:pPr>
                    <w:spacing w:line="600" w:lineRule="exact"/>
                    <w:ind w:firstLine="0" w:firstLineChars="0"/>
                    <w:rPr>
                      <w:rFonts w:ascii="黑体" w:hAnsi="黑体" w:eastAsia="黑体"/>
                      <w:b/>
                      <w:bCs/>
                      <w:sz w:val="32"/>
                      <w:szCs w:val="32"/>
                    </w:rPr>
                  </w:pPr>
                </w:p>
              </w:tc>
            </w:tr>
          </w:tbl>
          <w:p>
            <w:pPr>
              <w:spacing w:line="600" w:lineRule="exact"/>
              <w:ind w:firstLine="560"/>
              <w:rPr>
                <w:rFonts w:ascii="仿宋" w:hAnsi="仿宋" w:eastAsia="仿宋"/>
                <w:szCs w:val="28"/>
              </w:rPr>
            </w:pPr>
          </w:p>
        </w:tc>
      </w:tr>
    </w:tbl>
    <w:p>
      <w:pPr>
        <w:spacing w:line="600" w:lineRule="exact"/>
        <w:ind w:firstLine="643"/>
        <w:jc w:val="both"/>
        <w:rPr>
          <w:rFonts w:ascii="仿宋" w:hAnsi="仿宋" w:eastAsia="仿宋"/>
          <w:sz w:val="32"/>
          <w:szCs w:val="32"/>
        </w:rPr>
      </w:pPr>
      <w:r>
        <w:rPr>
          <w:rFonts w:hint="eastAsia" w:ascii="楷体" w:hAnsi="楷体" w:eastAsia="楷体"/>
          <w:b/>
          <w:bCs/>
          <w:sz w:val="32"/>
          <w:szCs w:val="32"/>
        </w:rPr>
        <w:t>（三）满足人民群众日益增长的消防安全需求面临严峻任务。</w:t>
      </w:r>
      <w:r>
        <w:rPr>
          <w:rFonts w:hint="eastAsia" w:ascii="仿宋" w:hAnsi="仿宋" w:eastAsia="仿宋"/>
          <w:sz w:val="32"/>
          <w:szCs w:val="32"/>
        </w:rPr>
        <w:t>从全市范围来看，消防安全隐患仍然较多，火灾风险仍然严峻，“</w:t>
      </w:r>
      <w:r>
        <w:rPr>
          <w:rFonts w:hint="eastAsia" w:ascii="仿宋" w:hAnsi="仿宋" w:eastAsia="仿宋"/>
          <w:sz w:val="32"/>
          <w:szCs w:val="32"/>
          <w:lang w:val="en-US"/>
        </w:rPr>
        <w:t>小火亡人</w:t>
      </w:r>
      <w:r>
        <w:rPr>
          <w:rFonts w:hint="eastAsia" w:ascii="仿宋" w:hAnsi="仿宋" w:eastAsia="仿宋"/>
          <w:sz w:val="32"/>
          <w:szCs w:val="32"/>
        </w:rPr>
        <w:t>”事故还时有发生，火灾伤亡和损失仍</w:t>
      </w:r>
      <w:r>
        <w:rPr>
          <w:rFonts w:hint="eastAsia" w:ascii="仿宋" w:hAnsi="仿宋" w:eastAsia="仿宋"/>
          <w:sz w:val="32"/>
          <w:szCs w:val="32"/>
          <w:lang w:val="en-US"/>
        </w:rPr>
        <w:t>不容忽视</w:t>
      </w:r>
      <w:r>
        <w:rPr>
          <w:rFonts w:hint="eastAsia" w:ascii="仿宋" w:hAnsi="仿宋" w:eastAsia="仿宋"/>
          <w:sz w:val="32"/>
          <w:szCs w:val="32"/>
        </w:rPr>
        <w:t>，全市消防安全环境与新时期人民群众日益增长的消防安全需求还不相适应。全市公共消防基础设施还比较薄弱，消防救援站、市政消火栓、消防车通道等消防设施布局还不平衡，消防安全保障水平与经济社会发展水平还不相适应。消防违法行为还比较普遍，公众接受消防安全教育培训的场所、设施还没有全面普及，公众反映突出的一些消防安全问题还没有彻底解决。</w:t>
      </w:r>
    </w:p>
    <w:p>
      <w:pPr>
        <w:pStyle w:val="52"/>
        <w:spacing w:line="600" w:lineRule="exact"/>
        <w:ind w:firstLine="643"/>
        <w:rPr>
          <w:rFonts w:ascii="仿宋" w:hAnsi="仿宋" w:eastAsia="仿宋" w:cs="Times New Roman"/>
          <w:sz w:val="32"/>
          <w:szCs w:val="32"/>
          <w:lang w:val="zh-CN"/>
        </w:rPr>
      </w:pPr>
      <w:r>
        <w:rPr>
          <w:rFonts w:hint="eastAsia" w:ascii="楷体" w:hAnsi="楷体" w:eastAsia="楷体"/>
          <w:b/>
          <w:bCs/>
          <w:sz w:val="32"/>
          <w:szCs w:val="32"/>
        </w:rPr>
        <w:t>（四）</w:t>
      </w:r>
      <w:r>
        <w:rPr>
          <w:rFonts w:hint="eastAsia" w:ascii="楷体" w:hAnsi="楷体" w:eastAsia="楷体" w:cs="Times New Roman"/>
          <w:b/>
          <w:bCs/>
          <w:sz w:val="32"/>
          <w:szCs w:val="32"/>
          <w:lang w:val="zh-CN"/>
        </w:rPr>
        <w:t>深度融入长三角带来的新需求。</w:t>
      </w:r>
      <w:r>
        <w:rPr>
          <w:rFonts w:hint="eastAsia" w:ascii="仿宋" w:hAnsi="仿宋" w:eastAsia="仿宋" w:cs="Times New Roman"/>
          <w:sz w:val="32"/>
          <w:szCs w:val="32"/>
          <w:lang w:val="zh-CN"/>
        </w:rPr>
        <w:t>我市在《实施长江三角洲区域一体化发展规划纲要》中明确提出了“应急联动协作，消除公共安全盲区”的目标，并按照“双圈互动、一区一基地”</w:t>
      </w:r>
      <w:r>
        <w:rPr>
          <w:rFonts w:hint="eastAsia" w:ascii="仿宋" w:hAnsi="仿宋" w:eastAsia="仿宋" w:cs="Times New Roman"/>
          <w:sz w:val="32"/>
          <w:szCs w:val="32"/>
          <w:vertAlign w:val="superscript"/>
          <w:lang w:val="zh-CN"/>
        </w:rPr>
        <w:t>[</w:t>
      </w:r>
      <w:r>
        <w:rPr>
          <w:rFonts w:ascii="仿宋" w:hAnsi="仿宋" w:eastAsia="仿宋" w:cs="Times New Roman"/>
          <w:sz w:val="32"/>
          <w:szCs w:val="32"/>
          <w:vertAlign w:val="superscript"/>
          <w:lang w:val="zh-CN"/>
        </w:rPr>
        <w:t>5]</w:t>
      </w:r>
      <w:r>
        <w:rPr>
          <w:rFonts w:hint="eastAsia" w:ascii="仿宋" w:hAnsi="仿宋" w:eastAsia="仿宋" w:cs="Times New Roman"/>
          <w:sz w:val="32"/>
          <w:szCs w:val="32"/>
          <w:lang w:val="zh-CN"/>
        </w:rPr>
        <w:t>的规划，积极融入“南京都市圈”和“合肥都市圈”，加速建设“东部大江北协同发展区”</w:t>
      </w:r>
      <w:r>
        <w:rPr>
          <w:rFonts w:hint="eastAsia" w:ascii="仿宋" w:hAnsi="仿宋" w:eastAsia="仿宋" w:cs="Times New Roman"/>
          <w:sz w:val="32"/>
          <w:szCs w:val="32"/>
          <w:vertAlign w:val="superscript"/>
          <w:lang w:val="zh-CN"/>
        </w:rPr>
        <w:t>[</w:t>
      </w:r>
      <w:r>
        <w:rPr>
          <w:rFonts w:ascii="仿宋" w:hAnsi="仿宋" w:eastAsia="仿宋" w:cs="Times New Roman"/>
          <w:sz w:val="32"/>
          <w:szCs w:val="32"/>
          <w:vertAlign w:val="superscript"/>
          <w:lang w:val="zh-CN"/>
        </w:rPr>
        <w:t>6]</w:t>
      </w:r>
      <w:r>
        <w:rPr>
          <w:rFonts w:hint="eastAsia" w:ascii="仿宋" w:hAnsi="仿宋" w:eastAsia="仿宋" w:cs="Times New Roman"/>
          <w:sz w:val="32"/>
          <w:szCs w:val="32"/>
          <w:lang w:val="zh-CN"/>
        </w:rPr>
        <w:t>，高质量建设“西部大工业基地”</w:t>
      </w:r>
      <w:r>
        <w:rPr>
          <w:rFonts w:hint="eastAsia" w:ascii="仿宋" w:hAnsi="仿宋" w:eastAsia="仿宋" w:cs="Times New Roman"/>
          <w:sz w:val="32"/>
          <w:szCs w:val="32"/>
          <w:vertAlign w:val="superscript"/>
          <w:lang w:val="zh-CN"/>
        </w:rPr>
        <w:t>[</w:t>
      </w:r>
      <w:r>
        <w:rPr>
          <w:rFonts w:ascii="仿宋" w:hAnsi="仿宋" w:eastAsia="仿宋" w:cs="Times New Roman"/>
          <w:sz w:val="32"/>
          <w:szCs w:val="32"/>
          <w:vertAlign w:val="superscript"/>
          <w:lang w:val="zh-CN"/>
        </w:rPr>
        <w:t>7]</w:t>
      </w:r>
      <w:r>
        <w:rPr>
          <w:rFonts w:hint="eastAsia" w:ascii="仿宋" w:hAnsi="仿宋" w:eastAsia="仿宋" w:cs="Times New Roman"/>
          <w:sz w:val="32"/>
          <w:szCs w:val="32"/>
          <w:lang w:val="zh-CN"/>
        </w:rPr>
        <w:t>，</w:t>
      </w:r>
      <w:r>
        <w:rPr>
          <w:rFonts w:ascii="仿宋" w:hAnsi="仿宋" w:eastAsia="仿宋" w:cs="Times New Roman"/>
          <w:sz w:val="32"/>
          <w:szCs w:val="32"/>
          <w:lang w:val="zh-CN"/>
        </w:rPr>
        <w:t>城市火灾荷</w:t>
      </w:r>
      <w:r>
        <w:rPr>
          <w:rFonts w:hint="eastAsia" w:ascii="仿宋" w:hAnsi="仿宋" w:eastAsia="仿宋" w:cs="Times New Roman"/>
          <w:sz w:val="32"/>
          <w:szCs w:val="32"/>
          <w:lang w:val="zh-CN"/>
        </w:rPr>
        <w:t>载</w:t>
      </w:r>
      <w:r>
        <w:rPr>
          <w:rFonts w:hint="eastAsia" w:ascii="仿宋" w:hAnsi="仿宋" w:eastAsia="仿宋" w:cs="Times New Roman"/>
          <w:sz w:val="32"/>
          <w:szCs w:val="32"/>
        </w:rPr>
        <w:t>将因此</w:t>
      </w:r>
      <w:r>
        <w:rPr>
          <w:rFonts w:hint="eastAsia" w:ascii="仿宋" w:hAnsi="仿宋" w:eastAsia="仿宋" w:cs="Times New Roman"/>
          <w:sz w:val="32"/>
          <w:szCs w:val="32"/>
          <w:lang w:val="zh-CN"/>
        </w:rPr>
        <w:t>又添新量</w:t>
      </w:r>
      <w:r>
        <w:rPr>
          <w:rFonts w:hint="eastAsia" w:ascii="仿宋" w:hAnsi="仿宋" w:eastAsia="仿宋" w:cs="Times New Roman"/>
          <w:sz w:val="32"/>
          <w:szCs w:val="32"/>
        </w:rPr>
        <w:t>并</w:t>
      </w:r>
      <w:r>
        <w:rPr>
          <w:rFonts w:hint="eastAsia" w:ascii="仿宋" w:hAnsi="仿宋" w:eastAsia="仿宋" w:cs="Times New Roman"/>
          <w:sz w:val="32"/>
          <w:szCs w:val="32"/>
          <w:lang w:val="zh-CN"/>
        </w:rPr>
        <w:t>蛰伏新的火灾风险,综合性</w:t>
      </w:r>
      <w:r>
        <w:rPr>
          <w:rFonts w:ascii="仿宋" w:hAnsi="仿宋" w:eastAsia="仿宋" w:cs="Times New Roman"/>
          <w:sz w:val="32"/>
          <w:szCs w:val="32"/>
          <w:lang w:val="zh-CN"/>
        </w:rPr>
        <w:t>消防救援将面临</w:t>
      </w:r>
      <w:r>
        <w:rPr>
          <w:rFonts w:hint="eastAsia" w:ascii="仿宋" w:hAnsi="仿宋" w:eastAsia="仿宋" w:cs="Times New Roman"/>
          <w:sz w:val="32"/>
          <w:szCs w:val="32"/>
          <w:lang w:val="zh-CN"/>
        </w:rPr>
        <w:t>更大的处置难度。</w:t>
      </w:r>
    </w:p>
    <w:p>
      <w:pPr>
        <w:pStyle w:val="52"/>
        <w:spacing w:line="600" w:lineRule="exact"/>
        <w:ind w:firstLine="640"/>
        <w:rPr>
          <w:rFonts w:ascii="仿宋" w:hAnsi="仿宋" w:eastAsia="仿宋" w:cs="Times New Roman"/>
          <w:sz w:val="32"/>
          <w:szCs w:val="32"/>
          <w:lang w:val="zh-CN"/>
        </w:rPr>
      </w:pPr>
    </w:p>
    <w:p>
      <w:pPr>
        <w:pStyle w:val="52"/>
        <w:spacing w:line="600" w:lineRule="exact"/>
        <w:ind w:firstLine="640"/>
        <w:rPr>
          <w:rFonts w:ascii="仿宋" w:hAnsi="仿宋" w:eastAsia="仿宋" w:cs="Times New Roman"/>
          <w:sz w:val="32"/>
          <w:szCs w:val="32"/>
          <w:lang w:val="zh-CN"/>
        </w:rPr>
      </w:pPr>
    </w:p>
    <w:p>
      <w:pPr>
        <w:pStyle w:val="52"/>
        <w:spacing w:line="600" w:lineRule="exact"/>
        <w:ind w:firstLine="640"/>
        <w:rPr>
          <w:rFonts w:ascii="仿宋" w:hAnsi="仿宋" w:eastAsia="仿宋" w:cs="Times New Roman"/>
          <w:sz w:val="32"/>
          <w:szCs w:val="32"/>
          <w:lang w:val="zh-CN"/>
        </w:rPr>
      </w:pPr>
    </w:p>
    <w:p>
      <w:pPr>
        <w:pStyle w:val="52"/>
        <w:spacing w:line="600" w:lineRule="exact"/>
        <w:ind w:firstLine="640"/>
        <w:rPr>
          <w:rFonts w:ascii="仿宋" w:hAnsi="仿宋" w:eastAsia="仿宋" w:cs="Times New Roman"/>
          <w:sz w:val="32"/>
          <w:szCs w:val="32"/>
          <w:lang w:val="zh-CN"/>
        </w:rPr>
      </w:pPr>
    </w:p>
    <w:p>
      <w:pPr>
        <w:pStyle w:val="52"/>
        <w:spacing w:line="600" w:lineRule="exact"/>
        <w:ind w:firstLine="640"/>
        <w:rPr>
          <w:rFonts w:ascii="仿宋" w:hAnsi="仿宋" w:eastAsia="仿宋" w:cs="Times New Roman"/>
          <w:sz w:val="32"/>
          <w:szCs w:val="32"/>
          <w:lang w:val="zh-CN"/>
        </w:rPr>
      </w:pPr>
    </w:p>
    <w:p>
      <w:pPr>
        <w:pStyle w:val="52"/>
        <w:spacing w:line="600" w:lineRule="exact"/>
        <w:ind w:firstLine="640"/>
        <w:rPr>
          <w:rFonts w:ascii="仿宋" w:hAnsi="仿宋" w:eastAsia="仿宋" w:cs="Times New Roman"/>
          <w:sz w:val="32"/>
          <w:szCs w:val="32"/>
          <w:lang w:val="zh-CN"/>
        </w:rPr>
      </w:pPr>
    </w:p>
    <w:p>
      <w:pPr>
        <w:pStyle w:val="52"/>
        <w:spacing w:line="600" w:lineRule="exact"/>
        <w:ind w:firstLine="640"/>
        <w:rPr>
          <w:rFonts w:ascii="仿宋" w:hAnsi="仿宋" w:eastAsia="仿宋" w:cs="Times New Roman"/>
          <w:sz w:val="32"/>
          <w:szCs w:val="32"/>
          <w:lang w:val="zh-CN"/>
        </w:rPr>
      </w:pPr>
    </w:p>
    <w:p>
      <w:pPr>
        <w:pStyle w:val="52"/>
        <w:spacing w:line="600" w:lineRule="exact"/>
        <w:ind w:firstLine="640"/>
        <w:rPr>
          <w:rFonts w:ascii="仿宋" w:hAnsi="仿宋" w:eastAsia="仿宋" w:cs="Times New Roman"/>
          <w:sz w:val="32"/>
          <w:szCs w:val="32"/>
          <w:lang w:val="zh-CN"/>
        </w:rPr>
      </w:pPr>
    </w:p>
    <w:p>
      <w:pPr>
        <w:pStyle w:val="52"/>
        <w:spacing w:line="600" w:lineRule="exact"/>
        <w:ind w:firstLine="640"/>
        <w:rPr>
          <w:rFonts w:ascii="仿宋" w:hAnsi="仿宋" w:eastAsia="仿宋" w:cs="Times New Roman"/>
          <w:sz w:val="32"/>
          <w:szCs w:val="32"/>
          <w:lang w:val="zh-CN"/>
        </w:rPr>
      </w:pPr>
    </w:p>
    <w:p>
      <w:pPr>
        <w:pStyle w:val="52"/>
        <w:spacing w:line="600" w:lineRule="exact"/>
        <w:ind w:firstLine="640"/>
        <w:rPr>
          <w:rFonts w:ascii="仿宋" w:hAnsi="仿宋" w:eastAsia="仿宋" w:cs="Times New Roman"/>
          <w:sz w:val="32"/>
          <w:szCs w:val="32"/>
          <w:lang w:val="zh-CN"/>
        </w:rPr>
      </w:pPr>
    </w:p>
    <w:p>
      <w:pPr>
        <w:pStyle w:val="52"/>
        <w:spacing w:line="600" w:lineRule="exact"/>
        <w:ind w:firstLine="640"/>
        <w:rPr>
          <w:rFonts w:ascii="仿宋" w:hAnsi="仿宋" w:eastAsia="仿宋" w:cs="Times New Roman"/>
          <w:sz w:val="32"/>
          <w:szCs w:val="32"/>
          <w:lang w:val="zh-CN"/>
        </w:rPr>
      </w:pPr>
    </w:p>
    <w:p>
      <w:pPr>
        <w:pStyle w:val="52"/>
        <w:spacing w:line="600" w:lineRule="exact"/>
        <w:ind w:firstLine="640"/>
        <w:rPr>
          <w:rFonts w:ascii="仿宋" w:hAnsi="仿宋" w:eastAsia="仿宋" w:cs="Times New Roman"/>
          <w:sz w:val="32"/>
          <w:szCs w:val="32"/>
          <w:lang w:val="zh-CN"/>
        </w:rPr>
      </w:pPr>
    </w:p>
    <w:p>
      <w:pPr>
        <w:pStyle w:val="52"/>
        <w:spacing w:line="600" w:lineRule="exact"/>
        <w:ind w:firstLine="640"/>
        <w:rPr>
          <w:rFonts w:ascii="仿宋" w:hAnsi="仿宋" w:eastAsia="仿宋" w:cs="Times New Roman"/>
          <w:sz w:val="32"/>
          <w:szCs w:val="32"/>
          <w:lang w:val="zh-CN"/>
        </w:rPr>
      </w:pPr>
    </w:p>
    <w:p>
      <w:pPr>
        <w:pStyle w:val="52"/>
        <w:spacing w:line="600" w:lineRule="exact"/>
        <w:ind w:firstLine="640"/>
        <w:rPr>
          <w:rFonts w:ascii="仿宋" w:hAnsi="仿宋" w:eastAsia="仿宋" w:cs="Times New Roman"/>
          <w:sz w:val="32"/>
          <w:szCs w:val="32"/>
          <w:lang w:val="zh-CN"/>
        </w:rPr>
      </w:pPr>
    </w:p>
    <w:p>
      <w:pPr>
        <w:pStyle w:val="3"/>
        <w:keepNext w:val="0"/>
        <w:keepLines w:val="0"/>
        <w:widowControl/>
        <w:spacing w:before="0" w:beforeAutospacing="0" w:after="0" w:afterAutospacing="0" w:line="560" w:lineRule="exact"/>
        <w:jc w:val="center"/>
        <w:rPr>
          <w:rFonts w:ascii="Times New Roman" w:hAnsi="Times New Roman" w:eastAsia="方正小标宋简体"/>
          <w:b w:val="0"/>
          <w:spacing w:val="-11"/>
          <w:kern w:val="36"/>
          <w:szCs w:val="48"/>
        </w:rPr>
      </w:pPr>
      <w:bookmarkStart w:id="14" w:name="_Toc57646678"/>
      <w:bookmarkStart w:id="15" w:name="_Toc54690456"/>
      <w:bookmarkStart w:id="16" w:name="_Toc89958957"/>
      <w:r>
        <w:rPr>
          <w:rFonts w:hint="eastAsia" w:ascii="Times New Roman" w:hAnsi="Times New Roman" w:eastAsia="方正小标宋简体"/>
          <w:b w:val="0"/>
          <w:spacing w:val="-11"/>
          <w:kern w:val="36"/>
          <w:szCs w:val="48"/>
        </w:rPr>
        <w:t>第二章</w:t>
      </w:r>
      <w:bookmarkEnd w:id="14"/>
      <w:bookmarkEnd w:id="15"/>
      <w:r>
        <w:rPr>
          <w:rFonts w:ascii="Times New Roman" w:hAnsi="Times New Roman" w:eastAsia="方正小标宋简体"/>
          <w:b w:val="0"/>
          <w:spacing w:val="-11"/>
          <w:kern w:val="36"/>
          <w:szCs w:val="48"/>
        </w:rPr>
        <w:t xml:space="preserve">  </w:t>
      </w:r>
      <w:r>
        <w:rPr>
          <w:rFonts w:hint="eastAsia" w:ascii="Times New Roman" w:hAnsi="Times New Roman" w:eastAsia="方正小标宋简体"/>
          <w:b w:val="0"/>
          <w:spacing w:val="-11"/>
          <w:kern w:val="36"/>
          <w:szCs w:val="48"/>
        </w:rPr>
        <w:t>指导思想、发展原则和主要目标</w:t>
      </w:r>
      <w:bookmarkEnd w:id="16"/>
    </w:p>
    <w:p>
      <w:pPr>
        <w:spacing w:before="260" w:after="260" w:line="580" w:lineRule="exact"/>
        <w:ind w:firstLine="643"/>
        <w:jc w:val="both"/>
        <w:outlineLvl w:val="1"/>
        <w:rPr>
          <w:rFonts w:ascii="黑体" w:hAnsi="黑体" w:eastAsia="黑体" w:cs="仿宋"/>
          <w:b/>
          <w:sz w:val="32"/>
          <w:szCs w:val="32"/>
        </w:rPr>
      </w:pPr>
      <w:bookmarkStart w:id="17" w:name="_Toc89958958"/>
      <w:bookmarkStart w:id="18" w:name="_Toc57646679"/>
      <w:bookmarkStart w:id="19" w:name="_Toc54690457"/>
      <w:r>
        <w:rPr>
          <w:rFonts w:hint="eastAsia" w:ascii="黑体" w:hAnsi="黑体" w:eastAsia="黑体" w:cs="仿宋"/>
          <w:b/>
          <w:sz w:val="32"/>
          <w:szCs w:val="32"/>
        </w:rPr>
        <w:t>一、指导思想</w:t>
      </w:r>
      <w:bookmarkEnd w:id="17"/>
      <w:bookmarkEnd w:id="18"/>
      <w:bookmarkEnd w:id="19"/>
    </w:p>
    <w:p>
      <w:pPr>
        <w:spacing w:line="580" w:lineRule="exact"/>
        <w:ind w:firstLine="640"/>
        <w:jc w:val="both"/>
        <w:rPr>
          <w:rFonts w:ascii="仿宋" w:hAnsi="仿宋" w:eastAsia="仿宋"/>
          <w:sz w:val="32"/>
          <w:szCs w:val="32"/>
        </w:rPr>
      </w:pPr>
      <w:bookmarkStart w:id="20" w:name="_Toc54690458"/>
      <w:r>
        <w:rPr>
          <w:rFonts w:hint="eastAsia" w:ascii="仿宋" w:hAnsi="仿宋" w:eastAsia="仿宋"/>
          <w:sz w:val="32"/>
          <w:szCs w:val="32"/>
        </w:rPr>
        <w:t>坚持以习近平新时代中国特色社会主义思想为指导，全面贯彻党的十九大和十九届二中、三中、四中、五中、</w:t>
      </w:r>
      <w:r>
        <w:rPr>
          <w:rFonts w:hint="eastAsia" w:ascii="仿宋" w:hAnsi="仿宋" w:eastAsia="仿宋"/>
          <w:sz w:val="32"/>
          <w:szCs w:val="32"/>
          <w:lang w:val="en-US"/>
        </w:rPr>
        <w:t>六中</w:t>
      </w:r>
      <w:r>
        <w:rPr>
          <w:rFonts w:hint="eastAsia" w:ascii="仿宋" w:hAnsi="仿宋" w:eastAsia="仿宋"/>
          <w:sz w:val="32"/>
          <w:szCs w:val="32"/>
        </w:rPr>
        <w:t>全会精神，深入贯彻习近平总书记考察安徽重要讲话指示精神和关于应急管理体系和能力现代化建设的重要论述，坚持党的全面领导，坚持以人民为中心，坚持</w:t>
      </w:r>
      <w:bookmarkStart w:id="90" w:name="_GoBack"/>
      <w:bookmarkEnd w:id="90"/>
      <w:r>
        <w:rPr>
          <w:rFonts w:hint="eastAsia" w:ascii="仿宋" w:hAnsi="仿宋" w:eastAsia="仿宋"/>
          <w:sz w:val="32"/>
          <w:szCs w:val="32"/>
          <w:lang w:eastAsia="zh-CN"/>
        </w:rPr>
        <w:t>总体国家安全观</w:t>
      </w:r>
      <w:r>
        <w:rPr>
          <w:rFonts w:hint="eastAsia" w:ascii="仿宋" w:hAnsi="仿宋" w:eastAsia="仿宋"/>
          <w:sz w:val="32"/>
          <w:szCs w:val="32"/>
        </w:rPr>
        <w:t>，牢固树立安全发展理念，统筹发展和安全，紧紧围绕滁州“一主四副”城市战略定位，围绕长三角一体化发展“东部大江北协同发展区”重点板块建设目标和“西部大工业基地”特色产业链建设目标，着力抓重点、补短板、强弱项，深入推进消防救援转型升级，进一步落实消防安全责任制，持续推进消防公共基础设施建设，全力防范化解重大消防安全风险，有效应对处置各类灾害事故，加快推进消防安全管理与消防救援体系能力现代化建设，全力确保火灾形势稳定，护航经济社会行稳致远，为</w:t>
      </w:r>
      <w:r>
        <w:rPr>
          <w:rFonts w:hint="eastAsia" w:ascii="仿宋" w:hAnsi="仿宋" w:eastAsia="仿宋"/>
          <w:sz w:val="32"/>
          <w:szCs w:val="32"/>
          <w:lang w:val="en-US"/>
        </w:rPr>
        <w:t>加快建设新阶段现代化新滁州</w:t>
      </w:r>
      <w:r>
        <w:rPr>
          <w:rFonts w:hint="eastAsia" w:ascii="仿宋" w:hAnsi="仿宋" w:eastAsia="仿宋"/>
          <w:sz w:val="32"/>
          <w:szCs w:val="32"/>
        </w:rPr>
        <w:t>提供坚实的消防安全保障。</w:t>
      </w:r>
    </w:p>
    <w:p>
      <w:pPr>
        <w:spacing w:before="260" w:after="260" w:line="580" w:lineRule="exact"/>
        <w:ind w:firstLine="643"/>
        <w:jc w:val="both"/>
        <w:outlineLvl w:val="1"/>
        <w:rPr>
          <w:rFonts w:ascii="黑体" w:hAnsi="黑体" w:eastAsia="黑体" w:cs="仿宋"/>
          <w:b/>
          <w:sz w:val="32"/>
          <w:szCs w:val="32"/>
        </w:rPr>
      </w:pPr>
      <w:bookmarkStart w:id="21" w:name="_Toc89958959"/>
      <w:bookmarkStart w:id="22" w:name="_Toc57646680"/>
      <w:r>
        <w:rPr>
          <w:rFonts w:hint="eastAsia" w:ascii="黑体" w:hAnsi="黑体" w:eastAsia="黑体" w:cs="仿宋"/>
          <w:b/>
          <w:sz w:val="32"/>
          <w:szCs w:val="32"/>
        </w:rPr>
        <w:t>二、发展原则</w:t>
      </w:r>
      <w:bookmarkEnd w:id="20"/>
      <w:bookmarkEnd w:id="21"/>
      <w:bookmarkEnd w:id="22"/>
    </w:p>
    <w:p>
      <w:pPr>
        <w:spacing w:line="580" w:lineRule="exact"/>
        <w:ind w:firstLine="643"/>
        <w:jc w:val="both"/>
        <w:rPr>
          <w:rFonts w:ascii="仿宋" w:hAnsi="仿宋" w:eastAsia="仿宋"/>
          <w:sz w:val="32"/>
          <w:szCs w:val="32"/>
        </w:rPr>
      </w:pPr>
      <w:r>
        <w:rPr>
          <w:rFonts w:hint="eastAsia" w:ascii="楷体" w:hAnsi="楷体" w:eastAsia="楷体"/>
          <w:b/>
          <w:bCs/>
          <w:sz w:val="32"/>
          <w:szCs w:val="32"/>
        </w:rPr>
        <w:t>（一）坚持预防为主，落实防消结合。</w:t>
      </w:r>
      <w:r>
        <w:rPr>
          <w:rFonts w:hint="eastAsia" w:ascii="仿宋" w:hAnsi="仿宋" w:eastAsia="仿宋"/>
          <w:sz w:val="32"/>
          <w:szCs w:val="32"/>
        </w:rPr>
        <w:t>紧盯消防安全“灰犀牛”事件，加大火灾事故多发</w:t>
      </w:r>
      <w:r>
        <w:rPr>
          <w:rFonts w:hint="eastAsia" w:ascii="仿宋" w:hAnsi="仿宋" w:eastAsia="仿宋"/>
          <w:sz w:val="32"/>
          <w:szCs w:val="32"/>
          <w:lang w:val="en-US"/>
        </w:rPr>
        <w:t>领域</w:t>
      </w:r>
      <w:r>
        <w:rPr>
          <w:rFonts w:hint="eastAsia" w:ascii="仿宋" w:hAnsi="仿宋" w:eastAsia="仿宋"/>
          <w:sz w:val="32"/>
          <w:szCs w:val="32"/>
        </w:rPr>
        <w:t>、</w:t>
      </w:r>
      <w:r>
        <w:rPr>
          <w:rFonts w:hint="eastAsia" w:ascii="仿宋" w:hAnsi="仿宋" w:eastAsia="仿宋"/>
          <w:sz w:val="32"/>
          <w:szCs w:val="32"/>
          <w:lang w:val="en-US"/>
        </w:rPr>
        <w:t>消防</w:t>
      </w:r>
      <w:r>
        <w:rPr>
          <w:rFonts w:hint="eastAsia" w:ascii="仿宋" w:hAnsi="仿宋" w:eastAsia="仿宋"/>
          <w:sz w:val="32"/>
          <w:szCs w:val="32"/>
        </w:rPr>
        <w:t>安全</w:t>
      </w:r>
      <w:r>
        <w:rPr>
          <w:rFonts w:hint="eastAsia" w:ascii="仿宋" w:hAnsi="仿宋" w:eastAsia="仿宋"/>
          <w:sz w:val="32"/>
          <w:szCs w:val="32"/>
          <w:lang w:val="en-US"/>
        </w:rPr>
        <w:t>基础薄弱的</w:t>
      </w:r>
      <w:r>
        <w:rPr>
          <w:rFonts w:hint="eastAsia" w:ascii="仿宋" w:hAnsi="仿宋" w:eastAsia="仿宋"/>
          <w:sz w:val="32"/>
          <w:szCs w:val="32"/>
        </w:rPr>
        <w:t>地区消防安全治理，切实降低火灾事故概率。警惕消防安全“黑天鹅”事件，切实提高综合消防救援能力，着力夯实城市防灾减灾基础，全力做好应对处置各类灾害事故的准备，防消结合，实现最大限度减损。</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（二）坚持问题导向，破解发展难题。</w:t>
      </w:r>
      <w:r>
        <w:rPr>
          <w:rFonts w:hint="eastAsia" w:ascii="仿宋" w:hAnsi="仿宋" w:eastAsia="仿宋"/>
          <w:sz w:val="32"/>
          <w:szCs w:val="32"/>
        </w:rPr>
        <w:t>对标《滁州市国民经济和社会发展第十四个五年规划和二〇三五年远景目标纲要》确定的城市发展</w:t>
      </w:r>
      <w:r>
        <w:rPr>
          <w:rFonts w:hint="eastAsia" w:ascii="仿宋" w:hAnsi="仿宋" w:eastAsia="仿宋"/>
          <w:sz w:val="32"/>
          <w:szCs w:val="32"/>
          <w:lang w:val="en-US"/>
        </w:rPr>
        <w:t>和消防工作中长期</w:t>
      </w:r>
      <w:r>
        <w:rPr>
          <w:rFonts w:hint="eastAsia" w:ascii="仿宋" w:hAnsi="仿宋" w:eastAsia="仿宋"/>
          <w:sz w:val="32"/>
          <w:szCs w:val="32"/>
        </w:rPr>
        <w:t>目标，按照消防工作应与城市建设同步发展的原则，提出切实可行的消防工作阶段性目标和措施，优化消防安全布局，夯实消防基础设施，完善火灾防控体系，谋划破解制约滁州消防</w:t>
      </w:r>
      <w:r>
        <w:rPr>
          <w:rFonts w:hint="eastAsia" w:ascii="仿宋" w:hAnsi="仿宋" w:eastAsia="仿宋"/>
          <w:sz w:val="32"/>
          <w:szCs w:val="32"/>
          <w:lang w:val="en-US"/>
        </w:rPr>
        <w:t>事业</w:t>
      </w:r>
      <w:r>
        <w:rPr>
          <w:rFonts w:hint="eastAsia" w:ascii="仿宋" w:hAnsi="仿宋" w:eastAsia="仿宋"/>
          <w:sz w:val="32"/>
          <w:szCs w:val="32"/>
        </w:rPr>
        <w:t>长远发展的源头性、根本性、基础性难题。</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（三）坚持转型升级，推进改革创新。</w:t>
      </w:r>
      <w:r>
        <w:rPr>
          <w:rFonts w:hint="eastAsia" w:ascii="仿宋" w:hAnsi="仿宋" w:eastAsia="仿宋"/>
          <w:sz w:val="32"/>
          <w:szCs w:val="32"/>
        </w:rPr>
        <w:t>针对转隶后的新职责、新使命，结合消防执法改革带来的新要求、新变化，推动消防改革政策全面落实落地。通过完善消防安全责任体系、改革消防监管模式、优化</w:t>
      </w:r>
      <w:r>
        <w:rPr>
          <w:rFonts w:hint="eastAsia" w:ascii="仿宋" w:hAnsi="仿宋" w:eastAsia="仿宋"/>
          <w:sz w:val="32"/>
          <w:szCs w:val="32"/>
          <w:lang w:val="en-US"/>
        </w:rPr>
        <w:t>应急</w:t>
      </w:r>
      <w:r>
        <w:rPr>
          <w:rFonts w:hint="eastAsia" w:ascii="仿宋" w:hAnsi="仿宋" w:eastAsia="仿宋"/>
          <w:sz w:val="32"/>
          <w:szCs w:val="32"/>
        </w:rPr>
        <w:t>救援装备结构、应用信息化</w:t>
      </w:r>
      <w:r>
        <w:rPr>
          <w:rFonts w:hint="eastAsia" w:ascii="仿宋" w:hAnsi="仿宋" w:eastAsia="仿宋"/>
          <w:sz w:val="32"/>
          <w:szCs w:val="32"/>
          <w:lang w:val="en-US"/>
        </w:rPr>
        <w:t>技术</w:t>
      </w:r>
      <w:r>
        <w:rPr>
          <w:rFonts w:hint="eastAsia" w:ascii="仿宋" w:hAnsi="仿宋" w:eastAsia="仿宋"/>
          <w:sz w:val="32"/>
          <w:szCs w:val="32"/>
        </w:rPr>
        <w:t>、引导社会化消防服务等手段，推进滁州消防工作转型升级和高质量发展，建立具有滁州特色的“全灾种、大应急”工作机制，优化整合消防救援力量，充分发挥消防队伍主力军、</w:t>
      </w:r>
      <w:r>
        <w:rPr>
          <w:rFonts w:hint="eastAsia" w:ascii="仿宋" w:hAnsi="仿宋" w:eastAsia="仿宋"/>
          <w:sz w:val="32"/>
          <w:szCs w:val="32"/>
          <w:lang w:val="en-US"/>
        </w:rPr>
        <w:t>国家队的尖刀</w:t>
      </w:r>
      <w:r>
        <w:rPr>
          <w:rFonts w:hint="eastAsia" w:ascii="仿宋" w:hAnsi="仿宋" w:eastAsia="仿宋"/>
          <w:sz w:val="32"/>
          <w:szCs w:val="32"/>
        </w:rPr>
        <w:t>作用。</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（四）坚持立足滁州，区域协同发展。</w:t>
      </w:r>
      <w:r>
        <w:rPr>
          <w:rFonts w:hint="eastAsia" w:ascii="仿宋" w:hAnsi="仿宋" w:eastAsia="仿宋"/>
          <w:sz w:val="32"/>
          <w:szCs w:val="32"/>
        </w:rPr>
        <w:t>立足滁州发展战略定位和滁州消防工作实际，重点解决</w:t>
      </w:r>
      <w:r>
        <w:rPr>
          <w:rFonts w:hint="eastAsia" w:ascii="仿宋" w:hAnsi="仿宋" w:eastAsia="仿宋"/>
          <w:sz w:val="32"/>
          <w:szCs w:val="32"/>
          <w:lang w:val="en-US"/>
        </w:rPr>
        <w:t>经济社会快速发展、城市规划不断拓展</w:t>
      </w:r>
      <w:r>
        <w:rPr>
          <w:rFonts w:hint="eastAsia" w:ascii="仿宋" w:hAnsi="仿宋" w:eastAsia="仿宋"/>
          <w:sz w:val="32"/>
          <w:szCs w:val="32"/>
        </w:rPr>
        <w:t>等给火灾防控带来的新问题。打破行政壁垒，主动作为，合作共享，积极融入长三角消防安全工作，力求在“南京都市圈”“合肥都市圈”消防安全布局优化</w:t>
      </w:r>
      <w:bookmarkStart w:id="23" w:name="_Toc524961578"/>
      <w:r>
        <w:rPr>
          <w:rFonts w:hint="eastAsia" w:ascii="仿宋" w:hAnsi="仿宋" w:eastAsia="仿宋"/>
          <w:sz w:val="32"/>
          <w:szCs w:val="32"/>
        </w:rPr>
        <w:t>、公共消防设施建设</w:t>
      </w:r>
      <w:bookmarkEnd w:id="23"/>
      <w:bookmarkStart w:id="24" w:name="_Toc524961580"/>
      <w:r>
        <w:rPr>
          <w:rFonts w:hint="eastAsia" w:ascii="仿宋" w:hAnsi="仿宋" w:eastAsia="仿宋"/>
          <w:sz w:val="32"/>
          <w:szCs w:val="32"/>
        </w:rPr>
        <w:t>、消防救援协同</w:t>
      </w:r>
      <w:r>
        <w:rPr>
          <w:rFonts w:hint="eastAsia" w:ascii="仿宋" w:hAnsi="仿宋" w:eastAsia="仿宋"/>
          <w:sz w:val="32"/>
          <w:szCs w:val="32"/>
          <w:lang w:val="en-US"/>
        </w:rPr>
        <w:t>作战</w:t>
      </w:r>
      <w:r>
        <w:rPr>
          <w:rFonts w:hint="eastAsia" w:ascii="仿宋" w:hAnsi="仿宋" w:eastAsia="仿宋"/>
          <w:sz w:val="32"/>
          <w:szCs w:val="32"/>
        </w:rPr>
        <w:t>等方面建立新机制</w:t>
      </w:r>
      <w:bookmarkEnd w:id="24"/>
      <w:r>
        <w:rPr>
          <w:rFonts w:hint="eastAsia" w:ascii="仿宋" w:hAnsi="仿宋" w:eastAsia="仿宋"/>
          <w:sz w:val="32"/>
          <w:szCs w:val="32"/>
        </w:rPr>
        <w:t>，探索同南京、合肥、扬州、马鞍山、蚌埠、淮南等周边城市共建“消防救援协作圈”建设思路。</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（五）坚持政府主导，社会积极参与。</w:t>
      </w:r>
      <w:r>
        <w:rPr>
          <w:rFonts w:hint="eastAsia" w:ascii="仿宋" w:hAnsi="仿宋" w:eastAsia="仿宋"/>
          <w:sz w:val="32"/>
          <w:szCs w:val="32"/>
        </w:rPr>
        <w:t>强化各级政府及职能部门消防安全责任，</w:t>
      </w:r>
      <w:r>
        <w:rPr>
          <w:rFonts w:hint="eastAsia" w:ascii="仿宋" w:hAnsi="仿宋" w:eastAsia="仿宋"/>
          <w:sz w:val="32"/>
          <w:szCs w:val="32"/>
          <w:lang w:val="en-US"/>
        </w:rPr>
        <w:t>推动</w:t>
      </w:r>
      <w:r>
        <w:rPr>
          <w:rFonts w:hint="eastAsia" w:ascii="仿宋" w:hAnsi="仿宋" w:eastAsia="仿宋"/>
          <w:sz w:val="32"/>
          <w:szCs w:val="32"/>
        </w:rPr>
        <w:t>社会单位</w:t>
      </w:r>
      <w:r>
        <w:rPr>
          <w:rFonts w:hint="eastAsia" w:ascii="仿宋" w:hAnsi="仿宋" w:eastAsia="仿宋"/>
          <w:sz w:val="32"/>
          <w:szCs w:val="32"/>
          <w:lang w:val="en-US"/>
        </w:rPr>
        <w:t>落实</w:t>
      </w:r>
      <w:r>
        <w:rPr>
          <w:rFonts w:hint="eastAsia" w:ascii="仿宋" w:hAnsi="仿宋" w:eastAsia="仿宋"/>
          <w:sz w:val="32"/>
          <w:szCs w:val="32"/>
        </w:rPr>
        <w:t>消防安全</w:t>
      </w:r>
      <w:r>
        <w:rPr>
          <w:rFonts w:hint="eastAsia" w:ascii="仿宋" w:hAnsi="仿宋" w:eastAsia="仿宋"/>
          <w:sz w:val="32"/>
          <w:szCs w:val="32"/>
          <w:lang w:val="en-US"/>
        </w:rPr>
        <w:t>主体</w:t>
      </w:r>
      <w:r>
        <w:rPr>
          <w:rFonts w:hint="eastAsia" w:ascii="仿宋" w:hAnsi="仿宋" w:eastAsia="仿宋"/>
          <w:sz w:val="32"/>
          <w:szCs w:val="32"/>
        </w:rPr>
        <w:t>责任。通过政府与社会资本合作、社会中介参与、政府购买服务等方式，推动消防行业职业技能鉴定、消防安全评估、消防培训教育等领域市场化运营。完善部门联动机制，畅通公众参与渠道，培育消防技术服务机构、消防志愿者等社会组织，形成多元共治、良性互动的消防安全工作格局。</w:t>
      </w:r>
    </w:p>
    <w:p>
      <w:pPr>
        <w:spacing w:before="260" w:after="260" w:line="580" w:lineRule="exact"/>
        <w:ind w:firstLine="643"/>
        <w:jc w:val="both"/>
        <w:outlineLvl w:val="1"/>
        <w:rPr>
          <w:rFonts w:ascii="黑体" w:hAnsi="黑体" w:eastAsia="黑体" w:cs="仿宋"/>
          <w:b/>
          <w:sz w:val="32"/>
          <w:szCs w:val="32"/>
        </w:rPr>
      </w:pPr>
      <w:bookmarkStart w:id="25" w:name="_Toc57646686"/>
      <w:bookmarkStart w:id="26" w:name="_Toc89958960"/>
      <w:bookmarkStart w:id="27" w:name="_Toc54690459"/>
      <w:r>
        <w:rPr>
          <w:rFonts w:hint="eastAsia" w:ascii="黑体" w:hAnsi="黑体" w:eastAsia="黑体" w:cs="仿宋"/>
          <w:b/>
          <w:sz w:val="32"/>
          <w:szCs w:val="32"/>
        </w:rPr>
        <w:t>三、主要目标</w:t>
      </w:r>
      <w:bookmarkEnd w:id="25"/>
      <w:bookmarkEnd w:id="26"/>
      <w:bookmarkEnd w:id="27"/>
    </w:p>
    <w:p>
      <w:pPr>
        <w:spacing w:line="580" w:lineRule="exact"/>
        <w:ind w:firstLine="640"/>
        <w:jc w:val="both"/>
        <w:rPr>
          <w:rFonts w:ascii="仿宋" w:hAnsi="仿宋" w:eastAsia="仿宋"/>
          <w:sz w:val="32"/>
          <w:szCs w:val="32"/>
        </w:rPr>
      </w:pPr>
      <w:r>
        <w:rPr>
          <w:rFonts w:hint="eastAsia" w:ascii="仿宋" w:hAnsi="仿宋" w:eastAsia="仿宋"/>
          <w:sz w:val="32"/>
          <w:szCs w:val="32"/>
        </w:rPr>
        <w:t>“十四五”</w:t>
      </w:r>
      <w:r>
        <w:rPr>
          <w:rFonts w:hint="eastAsia" w:ascii="仿宋" w:hAnsi="仿宋" w:eastAsia="仿宋"/>
          <w:sz w:val="32"/>
          <w:szCs w:val="32"/>
          <w:lang w:val="en-US"/>
        </w:rPr>
        <w:t>时期</w:t>
      </w:r>
      <w:r>
        <w:rPr>
          <w:rFonts w:hint="eastAsia" w:ascii="仿宋" w:hAnsi="仿宋" w:eastAsia="仿宋"/>
          <w:sz w:val="32"/>
          <w:szCs w:val="32"/>
        </w:rPr>
        <w:t>，全市消防工作要紧紧围绕</w:t>
      </w:r>
      <w:r>
        <w:rPr>
          <w:rFonts w:hint="eastAsia" w:ascii="仿宋" w:hAnsi="仿宋" w:eastAsia="仿宋"/>
          <w:sz w:val="32"/>
          <w:szCs w:val="32"/>
          <w:lang w:val="en-US"/>
        </w:rPr>
        <w:t>加快建设新阶段现代化新滁州</w:t>
      </w:r>
      <w:r>
        <w:rPr>
          <w:rFonts w:hint="eastAsia" w:ascii="仿宋" w:hAnsi="仿宋" w:eastAsia="仿宋"/>
          <w:sz w:val="32"/>
          <w:szCs w:val="32"/>
        </w:rPr>
        <w:t>的目标，全面推进消防安全治理体系和治理能力现代化建设。主要目标是：</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——火灾形势持续保持稳定。</w:t>
      </w:r>
      <w:r>
        <w:rPr>
          <w:rFonts w:hint="eastAsia" w:ascii="仿宋" w:hAnsi="仿宋" w:eastAsia="仿宋"/>
          <w:sz w:val="32"/>
          <w:szCs w:val="32"/>
        </w:rPr>
        <w:t>有效预防重特大火灾特别是群死群伤火灾事故，控制较大以上火灾事故，不发生较大社会影响火灾事故，降低一般火灾事故的数量，确保10万人口（含流动人口）年火灾死亡率</w:t>
      </w:r>
      <w:r>
        <w:rPr>
          <w:rFonts w:hint="eastAsia" w:ascii="仿宋" w:hAnsi="仿宋" w:eastAsia="仿宋"/>
          <w:sz w:val="32"/>
          <w:szCs w:val="32"/>
          <w:lang w:val="en-US"/>
        </w:rPr>
        <w:t>低</w:t>
      </w:r>
      <w:r>
        <w:rPr>
          <w:rFonts w:hint="eastAsia" w:ascii="仿宋" w:hAnsi="仿宋" w:eastAsia="仿宋"/>
          <w:sz w:val="32"/>
          <w:szCs w:val="32"/>
        </w:rPr>
        <w:t>于0.</w:t>
      </w:r>
      <w:r>
        <w:rPr>
          <w:rFonts w:ascii="仿宋" w:hAnsi="仿宋" w:eastAsia="仿宋"/>
          <w:sz w:val="32"/>
          <w:szCs w:val="32"/>
        </w:rPr>
        <w:t>16</w:t>
      </w:r>
      <w:r>
        <w:rPr>
          <w:rFonts w:hint="eastAsia" w:ascii="仿宋" w:hAnsi="仿宋" w:eastAsia="仿宋"/>
          <w:sz w:val="32"/>
          <w:szCs w:val="32"/>
        </w:rPr>
        <w:t>。</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——民众消防安全素质普遍提高。</w:t>
      </w:r>
      <w:r>
        <w:rPr>
          <w:rFonts w:hint="eastAsia" w:ascii="仿宋" w:hAnsi="仿宋" w:eastAsia="仿宋"/>
          <w:sz w:val="32"/>
          <w:szCs w:val="32"/>
        </w:rPr>
        <w:t>广泛开展以普及消防安全基本常识和自救逃生技能为主的消防宣传“五进”活动，大力开展消防安全培训和演练，实现对社会民众消防安全教育的全覆盖，</w:t>
      </w:r>
      <w:r>
        <w:rPr>
          <w:rFonts w:hint="eastAsia" w:ascii="仿宋" w:hAnsi="仿宋" w:eastAsia="仿宋"/>
          <w:sz w:val="32"/>
          <w:szCs w:val="32"/>
          <w:lang w:val="en-US"/>
        </w:rPr>
        <w:t>确保消防常识知晓率达85%，消防安全软环境显著提高</w:t>
      </w:r>
      <w:r>
        <w:rPr>
          <w:rFonts w:hint="eastAsia" w:ascii="仿宋" w:hAnsi="仿宋" w:eastAsia="仿宋"/>
          <w:sz w:val="32"/>
          <w:szCs w:val="32"/>
        </w:rPr>
        <w:t>。</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——全市火灾风险明显降低。</w:t>
      </w:r>
      <w:r>
        <w:rPr>
          <w:rFonts w:hint="eastAsia" w:ascii="仿宋" w:hAnsi="仿宋" w:eastAsia="仿宋"/>
          <w:sz w:val="32"/>
          <w:szCs w:val="32"/>
        </w:rPr>
        <w:t>全力防范化解重大火灾风险，落实消防安全责任制，持续开展消防安全专项整治，建立健全全市乡镇火灾防控体系建设，加强高风险区域和重大活动火灾风险监测管理，集中整治高层建筑、大型商业综合体、大型物流仓储、石油化工企业以及老旧场所、新材料新业态等场所领域的消防安全突出风险隐患，城市火灾风险明显降低。</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——城市消防安全布局进一步优化。</w:t>
      </w:r>
      <w:r>
        <w:rPr>
          <w:rFonts w:hint="eastAsia" w:ascii="仿宋" w:hAnsi="仿宋" w:eastAsia="仿宋"/>
          <w:sz w:val="32"/>
          <w:szCs w:val="32"/>
        </w:rPr>
        <w:t>综合考虑城市空间结构、人口、经济的聚集程度与分布状况，结合长三角一体化战略，优化消防安全布局，严格</w:t>
      </w:r>
      <w:r>
        <w:rPr>
          <w:rFonts w:hint="eastAsia" w:ascii="仿宋" w:hAnsi="仿宋" w:eastAsia="仿宋"/>
          <w:sz w:val="32"/>
          <w:szCs w:val="32"/>
          <w:lang w:val="en-US"/>
        </w:rPr>
        <w:t>审批</w:t>
      </w:r>
      <w:r>
        <w:rPr>
          <w:rFonts w:hint="eastAsia" w:ascii="仿宋" w:hAnsi="仿宋" w:eastAsia="仿宋"/>
          <w:sz w:val="32"/>
          <w:szCs w:val="32"/>
        </w:rPr>
        <w:t>各类火灾危险性和危害性较大的场所或</w:t>
      </w:r>
      <w:r>
        <w:rPr>
          <w:rFonts w:hint="eastAsia" w:ascii="仿宋" w:hAnsi="仿宋" w:eastAsia="仿宋"/>
          <w:sz w:val="32"/>
          <w:szCs w:val="32"/>
          <w:lang w:val="en-US"/>
        </w:rPr>
        <w:t>设施建设</w:t>
      </w:r>
      <w:r>
        <w:rPr>
          <w:rFonts w:hint="eastAsia" w:ascii="仿宋" w:hAnsi="仿宋" w:eastAsia="仿宋"/>
          <w:sz w:val="32"/>
          <w:szCs w:val="32"/>
        </w:rPr>
        <w:t>用地，减少火灾风险源。</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——综合消防救援能力显著增强。</w:t>
      </w:r>
      <w:r>
        <w:rPr>
          <w:rFonts w:hint="eastAsia" w:ascii="仿宋" w:hAnsi="仿宋" w:eastAsia="仿宋"/>
          <w:sz w:val="32"/>
          <w:szCs w:val="32"/>
        </w:rPr>
        <w:t>强化公共消防设施建设，补足消防站“欠账”，多渠道拓展城市消防水源。加快多种形式消防力量建设，完善政府专职消防员的各项招录和管理制度，</w:t>
      </w:r>
      <w:r>
        <w:rPr>
          <w:rFonts w:hint="eastAsia" w:ascii="仿宋" w:hAnsi="仿宋" w:eastAsia="仿宋"/>
          <w:sz w:val="32"/>
          <w:szCs w:val="32"/>
          <w:lang w:val="en-US"/>
        </w:rPr>
        <w:t>力争专职消防员占全市总人口比例达0.5‰，乡镇消防队达标率达100%。推进多灾种消防救援训练基地和消防战备物资保障站建设</w:t>
      </w:r>
      <w:r>
        <w:rPr>
          <w:rFonts w:hint="eastAsia" w:ascii="仿宋" w:hAnsi="仿宋" w:eastAsia="仿宋"/>
          <w:sz w:val="32"/>
          <w:szCs w:val="32"/>
        </w:rPr>
        <w:t>，</w:t>
      </w:r>
      <w:r>
        <w:rPr>
          <w:rFonts w:hint="eastAsia" w:ascii="仿宋" w:hAnsi="仿宋" w:eastAsia="仿宋"/>
          <w:sz w:val="32"/>
          <w:szCs w:val="32"/>
          <w:lang w:val="en-US"/>
        </w:rPr>
        <w:t>新建城市消防站17个，新建战勤保障站1个，</w:t>
      </w:r>
      <w:r>
        <w:rPr>
          <w:rFonts w:hint="eastAsia" w:ascii="仿宋" w:hAnsi="仿宋" w:eastAsia="仿宋"/>
          <w:sz w:val="32"/>
          <w:szCs w:val="32"/>
        </w:rPr>
        <w:t>按照“全灾种、大应急”要</w:t>
      </w:r>
      <w:r>
        <w:rPr>
          <w:rFonts w:hint="eastAsia" w:ascii="仿宋" w:hAnsi="仿宋" w:eastAsia="仿宋"/>
          <w:sz w:val="32"/>
          <w:szCs w:val="32"/>
          <w:lang w:val="en-US"/>
        </w:rPr>
        <w:t>求，积极探索建设航空、高空、地震、水域等特种救援专业力量建设，统筹推进综合应急、专业应急和社会救援队伍建设，强化装备配备和救援能力。</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——消防工作信息化水平明显提升。</w:t>
      </w:r>
      <w:r>
        <w:rPr>
          <w:rFonts w:hint="eastAsia" w:ascii="仿宋" w:hAnsi="仿宋" w:eastAsia="仿宋"/>
          <w:sz w:val="32"/>
          <w:szCs w:val="32"/>
        </w:rPr>
        <w:t>全力推进大数据、物联网、5G、人工智能、区块链等新技术在消防救援领域的应用，围绕消防救援实战需求，建设统一的消防救援大数据</w:t>
      </w:r>
      <w:r>
        <w:rPr>
          <w:rFonts w:hint="eastAsia" w:ascii="仿宋" w:hAnsi="仿宋" w:eastAsia="仿宋"/>
          <w:sz w:val="32"/>
          <w:szCs w:val="32"/>
          <w:lang w:val="en-US"/>
        </w:rPr>
        <w:t>库和火灾监测预警预报平台</w:t>
      </w:r>
      <w:r>
        <w:rPr>
          <w:rFonts w:hint="eastAsia" w:ascii="仿宋" w:hAnsi="仿宋" w:eastAsia="仿宋"/>
          <w:sz w:val="32"/>
          <w:szCs w:val="32"/>
        </w:rPr>
        <w:t>，加快“智慧消防”和“智慧救援”等相关系统的建设，进一步提高消防工作信息化水平。</w:t>
      </w:r>
    </w:p>
    <w:p>
      <w:pPr>
        <w:spacing w:line="600" w:lineRule="exact"/>
        <w:ind w:firstLine="0" w:firstLineChars="0"/>
        <w:jc w:val="center"/>
        <w:rPr>
          <w:rFonts w:eastAsia="黑体"/>
          <w:bCs/>
          <w:szCs w:val="28"/>
        </w:rPr>
      </w:pPr>
      <w:r>
        <w:rPr>
          <w:rFonts w:hint="eastAsia" w:eastAsia="黑体"/>
          <w:bCs/>
          <w:szCs w:val="28"/>
        </w:rPr>
        <w:t>表2：“十四五”时期</w:t>
      </w:r>
      <w:r>
        <w:rPr>
          <w:rFonts w:hint="eastAsia" w:eastAsia="黑体"/>
          <w:bCs/>
          <w:szCs w:val="28"/>
          <w:lang w:val="en-US"/>
        </w:rPr>
        <w:t>滁州</w:t>
      </w:r>
      <w:r>
        <w:rPr>
          <w:rFonts w:hint="eastAsia" w:eastAsia="黑体"/>
          <w:bCs/>
          <w:szCs w:val="28"/>
        </w:rPr>
        <w:t>消防事业发展主要指标</w:t>
      </w:r>
    </w:p>
    <w:tbl>
      <w:tblPr>
        <w:tblStyle w:val="28"/>
        <w:tblW w:w="87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266"/>
        <w:gridCol w:w="851"/>
        <w:gridCol w:w="2126"/>
        <w:gridCol w:w="1417"/>
        <w:gridCol w:w="1843"/>
        <w:gridCol w:w="12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2" w:hRule="atLeast"/>
          <w:tblHeader/>
          <w:jc w:val="center"/>
        </w:trPr>
        <w:tc>
          <w:tcPr>
            <w:tcW w:w="1266" w:type="dxa"/>
            <w:vAlign w:val="center"/>
          </w:tcPr>
          <w:p>
            <w:pPr>
              <w:spacing w:line="240" w:lineRule="auto"/>
              <w:ind w:firstLine="0" w:firstLineChars="0"/>
              <w:jc w:val="center"/>
              <w:rPr>
                <w:rFonts w:ascii="仿宋" w:hAnsi="仿宋" w:eastAsia="仿宋"/>
                <w:b/>
                <w:bCs/>
                <w:szCs w:val="28"/>
              </w:rPr>
            </w:pPr>
            <w:r>
              <w:rPr>
                <w:rFonts w:ascii="仿宋" w:hAnsi="仿宋" w:eastAsia="仿宋"/>
                <w:b/>
                <w:bCs/>
                <w:szCs w:val="28"/>
              </w:rPr>
              <w:t>类别</w:t>
            </w:r>
          </w:p>
        </w:tc>
        <w:tc>
          <w:tcPr>
            <w:tcW w:w="851" w:type="dxa"/>
            <w:vAlign w:val="center"/>
          </w:tcPr>
          <w:p>
            <w:pPr>
              <w:spacing w:line="240" w:lineRule="auto"/>
              <w:ind w:firstLine="0" w:firstLineChars="0"/>
              <w:jc w:val="center"/>
              <w:rPr>
                <w:rFonts w:ascii="仿宋" w:hAnsi="仿宋" w:eastAsia="仿宋"/>
                <w:b/>
                <w:bCs/>
                <w:szCs w:val="28"/>
              </w:rPr>
            </w:pPr>
            <w:r>
              <w:rPr>
                <w:rFonts w:ascii="仿宋" w:hAnsi="仿宋" w:eastAsia="仿宋"/>
                <w:b/>
                <w:bCs/>
                <w:szCs w:val="28"/>
              </w:rPr>
              <w:t>序号</w:t>
            </w:r>
          </w:p>
        </w:tc>
        <w:tc>
          <w:tcPr>
            <w:tcW w:w="2126" w:type="dxa"/>
            <w:vAlign w:val="center"/>
          </w:tcPr>
          <w:p>
            <w:pPr>
              <w:spacing w:line="240" w:lineRule="auto"/>
              <w:ind w:firstLine="0" w:firstLineChars="0"/>
              <w:jc w:val="center"/>
              <w:rPr>
                <w:rFonts w:ascii="仿宋" w:hAnsi="仿宋" w:eastAsia="仿宋"/>
                <w:b/>
                <w:bCs/>
                <w:szCs w:val="28"/>
              </w:rPr>
            </w:pPr>
            <w:r>
              <w:rPr>
                <w:rFonts w:ascii="仿宋" w:hAnsi="仿宋" w:eastAsia="仿宋"/>
                <w:b/>
                <w:bCs/>
                <w:szCs w:val="28"/>
              </w:rPr>
              <w:t>指标</w:t>
            </w:r>
          </w:p>
        </w:tc>
        <w:tc>
          <w:tcPr>
            <w:tcW w:w="1417" w:type="dxa"/>
            <w:vAlign w:val="center"/>
          </w:tcPr>
          <w:p>
            <w:pPr>
              <w:spacing w:line="240" w:lineRule="auto"/>
              <w:ind w:firstLine="0" w:firstLineChars="0"/>
              <w:jc w:val="center"/>
              <w:rPr>
                <w:rFonts w:ascii="仿宋" w:hAnsi="仿宋" w:eastAsia="仿宋"/>
                <w:b/>
                <w:bCs/>
                <w:szCs w:val="28"/>
              </w:rPr>
            </w:pPr>
            <w:r>
              <w:rPr>
                <w:rFonts w:ascii="仿宋" w:hAnsi="仿宋" w:eastAsia="仿宋"/>
                <w:b/>
                <w:bCs/>
                <w:szCs w:val="28"/>
              </w:rPr>
              <w:t>单位</w:t>
            </w:r>
          </w:p>
        </w:tc>
        <w:tc>
          <w:tcPr>
            <w:tcW w:w="1843" w:type="dxa"/>
            <w:vAlign w:val="center"/>
          </w:tcPr>
          <w:p>
            <w:pPr>
              <w:spacing w:line="240" w:lineRule="auto"/>
              <w:ind w:firstLine="0" w:firstLineChars="0"/>
              <w:jc w:val="center"/>
              <w:rPr>
                <w:rFonts w:ascii="仿宋" w:hAnsi="仿宋" w:eastAsia="仿宋"/>
                <w:b/>
                <w:bCs/>
                <w:szCs w:val="28"/>
              </w:rPr>
            </w:pPr>
            <w:r>
              <w:rPr>
                <w:rFonts w:ascii="仿宋" w:hAnsi="仿宋" w:eastAsia="仿宋"/>
                <w:b/>
                <w:bCs/>
                <w:szCs w:val="28"/>
              </w:rPr>
              <w:t>2025年目标值</w:t>
            </w:r>
          </w:p>
        </w:tc>
        <w:tc>
          <w:tcPr>
            <w:tcW w:w="1276" w:type="dxa"/>
            <w:vAlign w:val="center"/>
          </w:tcPr>
          <w:p>
            <w:pPr>
              <w:spacing w:line="240" w:lineRule="auto"/>
              <w:ind w:firstLine="0" w:firstLineChars="0"/>
              <w:jc w:val="center"/>
              <w:rPr>
                <w:rFonts w:ascii="仿宋" w:hAnsi="仿宋" w:eastAsia="仿宋"/>
                <w:b/>
                <w:bCs/>
                <w:szCs w:val="28"/>
              </w:rPr>
            </w:pPr>
            <w:r>
              <w:rPr>
                <w:rFonts w:ascii="仿宋" w:hAnsi="仿宋" w:eastAsia="仿宋"/>
                <w:b/>
                <w:bCs/>
                <w:szCs w:val="28"/>
              </w:rPr>
              <w:t>指标属性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266"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消防安全形势</w:t>
            </w:r>
          </w:p>
        </w:tc>
        <w:tc>
          <w:tcPr>
            <w:tcW w:w="851"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1</w:t>
            </w:r>
          </w:p>
        </w:tc>
        <w:tc>
          <w:tcPr>
            <w:tcW w:w="2126" w:type="dxa"/>
            <w:vAlign w:val="center"/>
          </w:tcPr>
          <w:p>
            <w:pPr>
              <w:spacing w:line="240" w:lineRule="auto"/>
              <w:ind w:firstLine="0" w:firstLineChars="0"/>
              <w:rPr>
                <w:rFonts w:ascii="仿宋" w:hAnsi="仿宋" w:eastAsia="仿宋"/>
                <w:szCs w:val="28"/>
              </w:rPr>
            </w:pPr>
            <w:r>
              <w:rPr>
                <w:rFonts w:ascii="仿宋" w:hAnsi="仿宋" w:eastAsia="仿宋"/>
                <w:szCs w:val="28"/>
              </w:rPr>
              <w:t>年度十万人火灾死亡率</w:t>
            </w:r>
          </w:p>
        </w:tc>
        <w:tc>
          <w:tcPr>
            <w:tcW w:w="1417"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人/十万人</w:t>
            </w:r>
          </w:p>
        </w:tc>
        <w:tc>
          <w:tcPr>
            <w:tcW w:w="1843"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低于0.16</w:t>
            </w:r>
          </w:p>
        </w:tc>
        <w:tc>
          <w:tcPr>
            <w:tcW w:w="1276"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266" w:type="dxa"/>
            <w:vMerge w:val="restart"/>
            <w:vAlign w:val="center"/>
          </w:tcPr>
          <w:p>
            <w:pPr>
              <w:spacing w:line="240" w:lineRule="auto"/>
              <w:ind w:firstLine="0" w:firstLineChars="0"/>
              <w:jc w:val="center"/>
              <w:rPr>
                <w:rFonts w:ascii="仿宋" w:hAnsi="仿宋" w:eastAsia="仿宋"/>
                <w:szCs w:val="28"/>
              </w:rPr>
            </w:pPr>
            <w:r>
              <w:rPr>
                <w:rFonts w:ascii="仿宋" w:hAnsi="仿宋" w:eastAsia="仿宋"/>
                <w:szCs w:val="28"/>
              </w:rPr>
              <w:t>综合应急救援力量</w:t>
            </w:r>
          </w:p>
        </w:tc>
        <w:tc>
          <w:tcPr>
            <w:tcW w:w="851" w:type="dxa"/>
            <w:vAlign w:val="center"/>
          </w:tcPr>
          <w:p>
            <w:pPr>
              <w:spacing w:line="240" w:lineRule="auto"/>
              <w:ind w:firstLine="0" w:firstLineChars="0"/>
              <w:jc w:val="center"/>
              <w:rPr>
                <w:rFonts w:ascii="仿宋" w:hAnsi="仿宋" w:eastAsia="仿宋"/>
                <w:szCs w:val="28"/>
              </w:rPr>
            </w:pPr>
            <w:r>
              <w:rPr>
                <w:rFonts w:hint="eastAsia" w:ascii="仿宋" w:hAnsi="仿宋" w:eastAsia="仿宋"/>
                <w:szCs w:val="28"/>
              </w:rPr>
              <w:t>2</w:t>
            </w:r>
          </w:p>
        </w:tc>
        <w:tc>
          <w:tcPr>
            <w:tcW w:w="2126" w:type="dxa"/>
            <w:vAlign w:val="center"/>
          </w:tcPr>
          <w:p>
            <w:pPr>
              <w:spacing w:line="240" w:lineRule="auto"/>
              <w:ind w:firstLine="0" w:firstLineChars="0"/>
              <w:rPr>
                <w:rFonts w:ascii="仿宋" w:hAnsi="仿宋" w:eastAsia="仿宋"/>
                <w:szCs w:val="28"/>
              </w:rPr>
            </w:pPr>
            <w:r>
              <w:rPr>
                <w:rFonts w:ascii="仿宋" w:hAnsi="仿宋" w:eastAsia="仿宋"/>
                <w:szCs w:val="28"/>
              </w:rPr>
              <w:t>专职消防</w:t>
            </w:r>
            <w:r>
              <w:rPr>
                <w:rFonts w:hint="eastAsia" w:ascii="仿宋" w:hAnsi="仿宋" w:eastAsia="仿宋"/>
                <w:szCs w:val="28"/>
              </w:rPr>
              <w:t>队</w:t>
            </w:r>
            <w:r>
              <w:rPr>
                <w:rFonts w:ascii="仿宋" w:hAnsi="仿宋" w:eastAsia="仿宋"/>
                <w:szCs w:val="28"/>
              </w:rPr>
              <w:t>员占全</w:t>
            </w:r>
            <w:r>
              <w:rPr>
                <w:rFonts w:hint="eastAsia" w:ascii="仿宋" w:hAnsi="仿宋" w:eastAsia="仿宋"/>
                <w:szCs w:val="28"/>
              </w:rPr>
              <w:t>市</w:t>
            </w:r>
            <w:r>
              <w:rPr>
                <w:rFonts w:ascii="仿宋" w:hAnsi="仿宋" w:eastAsia="仿宋"/>
                <w:szCs w:val="28"/>
              </w:rPr>
              <w:t>总人口比例</w:t>
            </w:r>
          </w:p>
        </w:tc>
        <w:tc>
          <w:tcPr>
            <w:tcW w:w="1417" w:type="dxa"/>
            <w:vAlign w:val="center"/>
          </w:tcPr>
          <w:p>
            <w:pPr>
              <w:spacing w:line="240" w:lineRule="auto"/>
              <w:ind w:firstLine="0" w:firstLineChars="0"/>
              <w:jc w:val="center"/>
              <w:rPr>
                <w:rFonts w:ascii="仿宋" w:hAnsi="仿宋" w:eastAsia="仿宋"/>
                <w:szCs w:val="28"/>
              </w:rPr>
            </w:pPr>
            <w:r>
              <w:rPr>
                <w:rFonts w:hint="eastAsia" w:ascii="仿宋" w:hAnsi="仿宋" w:eastAsia="仿宋"/>
                <w:szCs w:val="28"/>
                <w:lang w:val="en-US"/>
              </w:rPr>
              <w:t>‰</w:t>
            </w:r>
          </w:p>
        </w:tc>
        <w:tc>
          <w:tcPr>
            <w:tcW w:w="1843" w:type="dxa"/>
            <w:vAlign w:val="center"/>
          </w:tcPr>
          <w:p>
            <w:pPr>
              <w:spacing w:line="240" w:lineRule="auto"/>
              <w:ind w:firstLine="0" w:firstLineChars="0"/>
              <w:jc w:val="center"/>
              <w:rPr>
                <w:rFonts w:ascii="仿宋" w:hAnsi="仿宋" w:eastAsia="仿宋"/>
                <w:szCs w:val="28"/>
                <w:lang w:val="en-US"/>
              </w:rPr>
            </w:pPr>
            <w:r>
              <w:rPr>
                <w:rFonts w:hint="eastAsia" w:ascii="仿宋" w:hAnsi="仿宋" w:eastAsia="仿宋"/>
                <w:szCs w:val="28"/>
                <w:lang w:val="en-US"/>
              </w:rPr>
              <w:t>0.5</w:t>
            </w:r>
          </w:p>
        </w:tc>
        <w:tc>
          <w:tcPr>
            <w:tcW w:w="1276"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266" w:type="dxa"/>
            <w:vMerge w:val="continue"/>
            <w:vAlign w:val="center"/>
          </w:tcPr>
          <w:p>
            <w:pPr>
              <w:spacing w:line="240" w:lineRule="auto"/>
              <w:ind w:firstLine="560"/>
              <w:jc w:val="center"/>
              <w:rPr>
                <w:rFonts w:ascii="仿宋" w:hAnsi="仿宋" w:eastAsia="仿宋"/>
                <w:szCs w:val="28"/>
              </w:rPr>
            </w:pPr>
          </w:p>
        </w:tc>
        <w:tc>
          <w:tcPr>
            <w:tcW w:w="851"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3</w:t>
            </w:r>
          </w:p>
        </w:tc>
        <w:tc>
          <w:tcPr>
            <w:tcW w:w="2126" w:type="dxa"/>
            <w:vAlign w:val="center"/>
          </w:tcPr>
          <w:p>
            <w:pPr>
              <w:spacing w:line="240" w:lineRule="auto"/>
              <w:ind w:firstLine="0" w:firstLineChars="0"/>
              <w:rPr>
                <w:rFonts w:ascii="仿宋" w:hAnsi="仿宋" w:eastAsia="仿宋"/>
                <w:szCs w:val="28"/>
              </w:rPr>
            </w:pPr>
            <w:r>
              <w:rPr>
                <w:rFonts w:ascii="仿宋" w:hAnsi="仿宋" w:eastAsia="仿宋"/>
                <w:szCs w:val="28"/>
              </w:rPr>
              <w:t>志愿消防人员占全</w:t>
            </w:r>
            <w:r>
              <w:rPr>
                <w:rFonts w:hint="eastAsia" w:ascii="仿宋" w:hAnsi="仿宋" w:eastAsia="仿宋"/>
                <w:szCs w:val="28"/>
              </w:rPr>
              <w:t>市</w:t>
            </w:r>
            <w:r>
              <w:rPr>
                <w:rFonts w:ascii="仿宋" w:hAnsi="仿宋" w:eastAsia="仿宋"/>
                <w:szCs w:val="28"/>
              </w:rPr>
              <w:t>总人口比例</w:t>
            </w:r>
          </w:p>
        </w:tc>
        <w:tc>
          <w:tcPr>
            <w:tcW w:w="1417" w:type="dxa"/>
            <w:vAlign w:val="center"/>
          </w:tcPr>
          <w:p>
            <w:pPr>
              <w:spacing w:line="240" w:lineRule="auto"/>
              <w:ind w:firstLine="0" w:firstLineChars="0"/>
              <w:jc w:val="center"/>
              <w:rPr>
                <w:rFonts w:ascii="仿宋" w:hAnsi="仿宋" w:eastAsia="仿宋"/>
                <w:szCs w:val="28"/>
              </w:rPr>
            </w:pPr>
            <w:r>
              <w:rPr>
                <w:rFonts w:hint="eastAsia" w:ascii="仿宋" w:hAnsi="仿宋" w:eastAsia="仿宋"/>
                <w:szCs w:val="28"/>
                <w:lang w:val="en-US"/>
              </w:rPr>
              <w:t>‰</w:t>
            </w:r>
          </w:p>
        </w:tc>
        <w:tc>
          <w:tcPr>
            <w:tcW w:w="1843"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5</w:t>
            </w:r>
          </w:p>
        </w:tc>
        <w:tc>
          <w:tcPr>
            <w:tcW w:w="1276"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266" w:type="dxa"/>
            <w:vMerge w:val="continue"/>
            <w:vAlign w:val="center"/>
          </w:tcPr>
          <w:p>
            <w:pPr>
              <w:spacing w:line="240" w:lineRule="auto"/>
              <w:ind w:firstLine="560"/>
              <w:jc w:val="center"/>
              <w:rPr>
                <w:rFonts w:ascii="仿宋" w:hAnsi="仿宋" w:eastAsia="仿宋"/>
                <w:szCs w:val="28"/>
              </w:rPr>
            </w:pPr>
          </w:p>
        </w:tc>
        <w:tc>
          <w:tcPr>
            <w:tcW w:w="851"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4</w:t>
            </w:r>
          </w:p>
        </w:tc>
        <w:tc>
          <w:tcPr>
            <w:tcW w:w="2126" w:type="dxa"/>
            <w:vAlign w:val="center"/>
          </w:tcPr>
          <w:p>
            <w:pPr>
              <w:spacing w:line="240" w:lineRule="auto"/>
              <w:ind w:firstLine="0" w:firstLineChars="0"/>
              <w:rPr>
                <w:rFonts w:ascii="仿宋" w:hAnsi="仿宋" w:eastAsia="仿宋"/>
                <w:szCs w:val="28"/>
              </w:rPr>
            </w:pPr>
            <w:r>
              <w:rPr>
                <w:rFonts w:ascii="仿宋" w:hAnsi="仿宋" w:eastAsia="仿宋"/>
                <w:szCs w:val="28"/>
              </w:rPr>
              <w:t>乡镇消防队达标率</w:t>
            </w:r>
          </w:p>
        </w:tc>
        <w:tc>
          <w:tcPr>
            <w:tcW w:w="1417"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w:t>
            </w:r>
          </w:p>
        </w:tc>
        <w:tc>
          <w:tcPr>
            <w:tcW w:w="1843"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100</w:t>
            </w:r>
          </w:p>
        </w:tc>
        <w:tc>
          <w:tcPr>
            <w:tcW w:w="1276"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266" w:type="dxa"/>
            <w:vMerge w:val="restart"/>
            <w:vAlign w:val="center"/>
          </w:tcPr>
          <w:p>
            <w:pPr>
              <w:spacing w:line="240" w:lineRule="auto"/>
              <w:ind w:firstLine="0" w:firstLineChars="0"/>
              <w:jc w:val="center"/>
              <w:rPr>
                <w:rFonts w:ascii="仿宋" w:hAnsi="仿宋" w:eastAsia="仿宋"/>
                <w:szCs w:val="28"/>
              </w:rPr>
            </w:pPr>
            <w:r>
              <w:rPr>
                <w:rFonts w:ascii="仿宋" w:hAnsi="仿宋" w:eastAsia="仿宋"/>
                <w:szCs w:val="28"/>
              </w:rPr>
              <w:t>综合保障能力</w:t>
            </w:r>
          </w:p>
        </w:tc>
        <w:tc>
          <w:tcPr>
            <w:tcW w:w="851"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5</w:t>
            </w:r>
          </w:p>
        </w:tc>
        <w:tc>
          <w:tcPr>
            <w:tcW w:w="2126" w:type="dxa"/>
            <w:vAlign w:val="center"/>
          </w:tcPr>
          <w:p>
            <w:pPr>
              <w:spacing w:line="240" w:lineRule="auto"/>
              <w:ind w:firstLine="0" w:firstLineChars="0"/>
              <w:rPr>
                <w:rFonts w:ascii="仿宋" w:hAnsi="仿宋" w:eastAsia="仿宋"/>
                <w:szCs w:val="28"/>
              </w:rPr>
            </w:pPr>
            <w:r>
              <w:rPr>
                <w:rFonts w:ascii="仿宋" w:hAnsi="仿宋" w:eastAsia="仿宋"/>
                <w:szCs w:val="28"/>
              </w:rPr>
              <w:t>新建</w:t>
            </w:r>
            <w:r>
              <w:rPr>
                <w:rFonts w:hint="eastAsia" w:ascii="仿宋" w:hAnsi="仿宋" w:eastAsia="仿宋"/>
                <w:szCs w:val="28"/>
              </w:rPr>
              <w:t>城市</w:t>
            </w:r>
            <w:r>
              <w:rPr>
                <w:rFonts w:ascii="仿宋" w:hAnsi="仿宋" w:eastAsia="仿宋"/>
                <w:szCs w:val="28"/>
              </w:rPr>
              <w:t>消防救援站</w:t>
            </w:r>
          </w:p>
        </w:tc>
        <w:tc>
          <w:tcPr>
            <w:tcW w:w="1417"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个</w:t>
            </w:r>
          </w:p>
        </w:tc>
        <w:tc>
          <w:tcPr>
            <w:tcW w:w="1843"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17</w:t>
            </w:r>
          </w:p>
        </w:tc>
        <w:tc>
          <w:tcPr>
            <w:tcW w:w="1276"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266" w:type="dxa"/>
            <w:vMerge w:val="continue"/>
            <w:vAlign w:val="center"/>
          </w:tcPr>
          <w:p>
            <w:pPr>
              <w:spacing w:line="240" w:lineRule="auto"/>
              <w:ind w:firstLine="560"/>
              <w:jc w:val="center"/>
              <w:rPr>
                <w:rFonts w:ascii="仿宋" w:hAnsi="仿宋" w:eastAsia="仿宋"/>
                <w:szCs w:val="28"/>
              </w:rPr>
            </w:pPr>
          </w:p>
        </w:tc>
        <w:tc>
          <w:tcPr>
            <w:tcW w:w="851"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6</w:t>
            </w:r>
          </w:p>
        </w:tc>
        <w:tc>
          <w:tcPr>
            <w:tcW w:w="2126" w:type="dxa"/>
            <w:vAlign w:val="center"/>
          </w:tcPr>
          <w:p>
            <w:pPr>
              <w:spacing w:line="240" w:lineRule="auto"/>
              <w:ind w:firstLine="0" w:firstLineChars="0"/>
              <w:rPr>
                <w:rFonts w:ascii="仿宋" w:hAnsi="仿宋" w:eastAsia="仿宋"/>
                <w:szCs w:val="28"/>
              </w:rPr>
            </w:pPr>
            <w:r>
              <w:rPr>
                <w:rFonts w:ascii="仿宋" w:hAnsi="仿宋" w:eastAsia="仿宋"/>
                <w:szCs w:val="28"/>
              </w:rPr>
              <w:t>新建战勤保障站</w:t>
            </w:r>
          </w:p>
        </w:tc>
        <w:tc>
          <w:tcPr>
            <w:tcW w:w="1417"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个</w:t>
            </w:r>
          </w:p>
        </w:tc>
        <w:tc>
          <w:tcPr>
            <w:tcW w:w="1843" w:type="dxa"/>
            <w:vAlign w:val="center"/>
          </w:tcPr>
          <w:p>
            <w:pPr>
              <w:spacing w:line="240" w:lineRule="auto"/>
              <w:ind w:firstLine="0" w:firstLineChars="0"/>
              <w:jc w:val="center"/>
              <w:rPr>
                <w:rFonts w:ascii="仿宋" w:hAnsi="仿宋" w:eastAsia="仿宋"/>
                <w:szCs w:val="28"/>
              </w:rPr>
            </w:pPr>
            <w:r>
              <w:rPr>
                <w:rFonts w:hint="eastAsia" w:ascii="仿宋" w:hAnsi="仿宋" w:eastAsia="仿宋"/>
                <w:szCs w:val="28"/>
              </w:rPr>
              <w:t>１</w:t>
            </w:r>
          </w:p>
        </w:tc>
        <w:tc>
          <w:tcPr>
            <w:tcW w:w="1276"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266"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消防安全软环境</w:t>
            </w:r>
          </w:p>
        </w:tc>
        <w:tc>
          <w:tcPr>
            <w:tcW w:w="851"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7</w:t>
            </w:r>
          </w:p>
        </w:tc>
        <w:tc>
          <w:tcPr>
            <w:tcW w:w="2126" w:type="dxa"/>
            <w:vAlign w:val="center"/>
          </w:tcPr>
          <w:p>
            <w:pPr>
              <w:spacing w:line="240" w:lineRule="auto"/>
              <w:ind w:firstLine="0" w:firstLineChars="0"/>
              <w:rPr>
                <w:rFonts w:ascii="仿宋" w:hAnsi="仿宋" w:eastAsia="仿宋"/>
                <w:szCs w:val="28"/>
              </w:rPr>
            </w:pPr>
            <w:r>
              <w:rPr>
                <w:rFonts w:ascii="仿宋" w:hAnsi="仿宋" w:eastAsia="仿宋"/>
                <w:szCs w:val="28"/>
              </w:rPr>
              <w:t>消防常识知晓率</w:t>
            </w:r>
          </w:p>
        </w:tc>
        <w:tc>
          <w:tcPr>
            <w:tcW w:w="1417"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w:t>
            </w:r>
          </w:p>
        </w:tc>
        <w:tc>
          <w:tcPr>
            <w:tcW w:w="1843"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85</w:t>
            </w:r>
          </w:p>
        </w:tc>
        <w:tc>
          <w:tcPr>
            <w:tcW w:w="1276" w:type="dxa"/>
            <w:vAlign w:val="center"/>
          </w:tcPr>
          <w:p>
            <w:pPr>
              <w:spacing w:line="240" w:lineRule="auto"/>
              <w:ind w:firstLine="0" w:firstLineChars="0"/>
              <w:jc w:val="center"/>
              <w:rPr>
                <w:rFonts w:ascii="仿宋" w:hAnsi="仿宋" w:eastAsia="仿宋"/>
                <w:szCs w:val="28"/>
              </w:rPr>
            </w:pPr>
            <w:r>
              <w:rPr>
                <w:rFonts w:ascii="仿宋" w:hAnsi="仿宋" w:eastAsia="仿宋"/>
                <w:szCs w:val="28"/>
              </w:rPr>
              <w:t>约束性</w:t>
            </w:r>
          </w:p>
        </w:tc>
      </w:tr>
    </w:tbl>
    <w:p>
      <w:pPr>
        <w:spacing w:line="600" w:lineRule="exact"/>
        <w:ind w:firstLine="640"/>
        <w:jc w:val="both"/>
        <w:rPr>
          <w:rFonts w:ascii="仿宋" w:hAnsi="仿宋" w:eastAsia="仿宋"/>
          <w:sz w:val="32"/>
          <w:szCs w:val="32"/>
        </w:rPr>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3"/>
        <w:keepNext w:val="0"/>
        <w:keepLines w:val="0"/>
        <w:widowControl/>
        <w:spacing w:before="0" w:beforeAutospacing="0" w:after="0" w:afterAutospacing="0" w:line="560" w:lineRule="exact"/>
        <w:jc w:val="center"/>
        <w:rPr>
          <w:rFonts w:ascii="Times New Roman" w:hAnsi="Times New Roman" w:eastAsia="方正小标宋简体"/>
          <w:b w:val="0"/>
          <w:spacing w:val="-11"/>
          <w:kern w:val="36"/>
          <w:szCs w:val="48"/>
        </w:rPr>
      </w:pPr>
      <w:bookmarkStart w:id="28" w:name="_Toc57646689"/>
      <w:bookmarkStart w:id="29" w:name="_Toc89958961"/>
      <w:bookmarkStart w:id="30" w:name="_Toc54690461"/>
      <w:r>
        <w:rPr>
          <w:rFonts w:hint="eastAsia" w:ascii="Times New Roman" w:hAnsi="Times New Roman" w:eastAsia="方正小标宋简体"/>
          <w:b w:val="0"/>
          <w:spacing w:val="-11"/>
          <w:kern w:val="36"/>
          <w:szCs w:val="48"/>
        </w:rPr>
        <w:t>第三章</w:t>
      </w:r>
      <w:r>
        <w:rPr>
          <w:rFonts w:ascii="Times New Roman" w:hAnsi="Times New Roman" w:eastAsia="方正小标宋简体"/>
          <w:b w:val="0"/>
          <w:spacing w:val="-11"/>
          <w:kern w:val="36"/>
          <w:szCs w:val="48"/>
        </w:rPr>
        <w:t xml:space="preserve">  </w:t>
      </w:r>
      <w:r>
        <w:rPr>
          <w:rFonts w:hint="eastAsia" w:ascii="Times New Roman" w:hAnsi="Times New Roman" w:eastAsia="方正小标宋简体"/>
          <w:b w:val="0"/>
          <w:spacing w:val="-11"/>
          <w:kern w:val="36"/>
          <w:szCs w:val="48"/>
        </w:rPr>
        <w:t>主要任务</w:t>
      </w:r>
      <w:bookmarkEnd w:id="28"/>
      <w:bookmarkEnd w:id="29"/>
      <w:bookmarkEnd w:id="30"/>
    </w:p>
    <w:p>
      <w:pPr>
        <w:spacing w:before="260" w:after="260" w:line="580" w:lineRule="exact"/>
        <w:ind w:firstLine="643"/>
        <w:jc w:val="both"/>
        <w:outlineLvl w:val="1"/>
        <w:rPr>
          <w:rFonts w:ascii="黑体" w:hAnsi="黑体" w:eastAsia="黑体"/>
          <w:b/>
          <w:sz w:val="32"/>
          <w:szCs w:val="32"/>
          <w:lang w:val="en-US"/>
        </w:rPr>
      </w:pPr>
      <w:bookmarkStart w:id="31" w:name="_Toc57646690"/>
      <w:bookmarkStart w:id="32" w:name="_Toc54690462"/>
      <w:bookmarkStart w:id="33" w:name="_Toc89958962"/>
      <w:r>
        <w:rPr>
          <w:rFonts w:hint="eastAsia" w:ascii="黑体" w:hAnsi="黑体" w:eastAsia="黑体"/>
          <w:b/>
          <w:sz w:val="32"/>
          <w:szCs w:val="32"/>
          <w:lang w:val="en-US"/>
        </w:rPr>
        <w:t>一、不断完善全市重大火灾风险防控体系</w:t>
      </w:r>
      <w:bookmarkEnd w:id="31"/>
      <w:bookmarkEnd w:id="32"/>
      <w:bookmarkEnd w:id="33"/>
    </w:p>
    <w:p>
      <w:pPr>
        <w:spacing w:line="580" w:lineRule="exact"/>
        <w:ind w:firstLine="643"/>
        <w:jc w:val="both"/>
        <w:rPr>
          <w:rFonts w:ascii="仿宋" w:hAnsi="仿宋" w:eastAsia="仿宋"/>
          <w:sz w:val="32"/>
          <w:szCs w:val="32"/>
        </w:rPr>
      </w:pPr>
      <w:r>
        <w:rPr>
          <w:rFonts w:hint="eastAsia" w:ascii="楷体" w:hAnsi="楷体" w:eastAsia="楷体"/>
          <w:b/>
          <w:bCs/>
          <w:sz w:val="32"/>
          <w:szCs w:val="32"/>
          <w:lang w:val="en-US"/>
        </w:rPr>
        <w:t>（一）</w:t>
      </w:r>
      <w:r>
        <w:rPr>
          <w:rFonts w:hint="eastAsia" w:ascii="楷体" w:hAnsi="楷体" w:eastAsia="楷体"/>
          <w:b/>
          <w:bCs/>
          <w:sz w:val="32"/>
          <w:szCs w:val="32"/>
        </w:rPr>
        <w:t>优化城乡消防安全布局。</w:t>
      </w:r>
      <w:r>
        <w:rPr>
          <w:rFonts w:hint="eastAsia" w:ascii="仿宋" w:hAnsi="仿宋" w:eastAsia="仿宋"/>
          <w:sz w:val="32"/>
          <w:szCs w:val="32"/>
        </w:rPr>
        <w:t>加强对火灾危险性和危害性较大场所和</w:t>
      </w:r>
      <w:r>
        <w:rPr>
          <w:rFonts w:hint="eastAsia" w:ascii="仿宋" w:hAnsi="仿宋" w:eastAsia="仿宋"/>
          <w:sz w:val="32"/>
          <w:szCs w:val="32"/>
          <w:lang w:val="en-US"/>
        </w:rPr>
        <w:t>设施建设</w:t>
      </w:r>
      <w:r>
        <w:rPr>
          <w:rFonts w:hint="eastAsia" w:ascii="仿宋" w:hAnsi="仿宋" w:eastAsia="仿宋"/>
          <w:sz w:val="32"/>
          <w:szCs w:val="32"/>
        </w:rPr>
        <w:t>用地的</w:t>
      </w:r>
      <w:r>
        <w:rPr>
          <w:rFonts w:hint="eastAsia" w:ascii="仿宋" w:hAnsi="仿宋" w:eastAsia="仿宋"/>
          <w:sz w:val="32"/>
          <w:szCs w:val="32"/>
          <w:lang w:val="en-US"/>
        </w:rPr>
        <w:t>严格审批</w:t>
      </w:r>
      <w:r>
        <w:rPr>
          <w:rFonts w:hint="eastAsia" w:ascii="仿宋" w:hAnsi="仿宋" w:eastAsia="仿宋"/>
          <w:sz w:val="32"/>
          <w:szCs w:val="32"/>
        </w:rPr>
        <w:t>，减少火灾风险源，根据城市空间布局，落实建设规模、建筑高度、选址布局等城市建筑的针对性控制和管理措施；限制易燃易爆危险品企业规模，腾退、搬迁高风险危险化学品生产和经营企业，针对居住区、商业区、产业园区、行政办公区、历史文化名城、高层建筑、地下空间等城市用地功能，严格按照相关规划和规定设置耐火等级、防火间距、消防车通道、消防设施，提高消防安全设防等级，强化消防安全管理措施。腾退一批城区内耐火等级低和防火间距不足的小商品市场、易燃易爆危险品场所和生产企业，拆除一批耐火等级低、建筑连片毗邻、防火间距严重不足的消防违法建筑，清理一批具有较高火灾风险的城乡结合部老旧场所。</w:t>
      </w:r>
    </w:p>
    <w:p>
      <w:pPr>
        <w:spacing w:line="580" w:lineRule="exact"/>
        <w:ind w:firstLine="643"/>
        <w:jc w:val="both"/>
        <w:rPr>
          <w:rFonts w:ascii="仿宋" w:hAnsi="仿宋" w:eastAsia="仿宋"/>
          <w:sz w:val="32"/>
          <w:szCs w:val="32"/>
          <w:lang w:val="en-US"/>
        </w:rPr>
      </w:pPr>
      <w:r>
        <w:rPr>
          <w:rFonts w:hint="eastAsia" w:ascii="楷体" w:hAnsi="楷体" w:eastAsia="楷体"/>
          <w:b/>
          <w:bCs/>
          <w:sz w:val="32"/>
          <w:szCs w:val="32"/>
        </w:rPr>
        <w:t>（</w:t>
      </w:r>
      <w:r>
        <w:rPr>
          <w:rFonts w:hint="eastAsia" w:ascii="楷体" w:hAnsi="楷体" w:eastAsia="楷体"/>
          <w:b/>
          <w:bCs/>
          <w:sz w:val="32"/>
          <w:szCs w:val="32"/>
          <w:lang w:val="en-US"/>
        </w:rPr>
        <w:t>二</w:t>
      </w:r>
      <w:r>
        <w:rPr>
          <w:rFonts w:hint="eastAsia" w:ascii="楷体" w:hAnsi="楷体" w:eastAsia="楷体"/>
          <w:b/>
          <w:bCs/>
          <w:sz w:val="32"/>
          <w:szCs w:val="32"/>
        </w:rPr>
        <w:t>）加强消防宣传教育培训。</w:t>
      </w:r>
      <w:r>
        <w:rPr>
          <w:rFonts w:hint="eastAsia" w:ascii="仿宋" w:hAnsi="仿宋" w:eastAsia="仿宋"/>
          <w:sz w:val="32"/>
          <w:szCs w:val="32"/>
          <w:lang w:val="en-US"/>
        </w:rPr>
        <w:t>通过线下培训、网络课堂和视频直播等方式，分批、分类推进消防宣传培训的社会化、群众化、普及化。落实行业部门消防安全宣传职责，定期研究解决消防宣传教育难题，形成宣传工作合力。将消防宣传教育纳入乡村振兴计划、社会主义精神文明建设、平安建设等，建立消防宣传长效机制。常态化开放消防救援站、推动消防科普教育基地全覆盖、设立基层消防宣传教育站点、消防文化主题公园（消防文化广场），为群众就近免费提供消防安全培训。建立健全消防志愿服务队运行机制，高标准推进消防宣传“五进”，结合“119消防宣传月”等主题活动，开展经常性消防安全知识宣传，延伸消防宣传教育渠道。联动广播、电视、报刊、网络等传播媒体和移动、电信、联通等通信运营商及屏媒运行单位，广泛搭建数字化消防宣传平台。自主创作火灾案例警示片、公益广告、动画和系列海报，全面提升消防宣传品牌力和影响力。</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（三）加强城乡消防公共基础设施建设。</w:t>
      </w:r>
      <w:r>
        <w:rPr>
          <w:rFonts w:hint="eastAsia" w:ascii="仿宋" w:hAnsi="仿宋" w:eastAsia="仿宋"/>
          <w:sz w:val="32"/>
          <w:szCs w:val="32"/>
        </w:rPr>
        <w:t>补足老城区和新建城区消防救援站“欠账”，完成明湖大道训练基地建设，按国家相关标准要求完成全市乡镇消防站达标建设，采用协作共享方式</w:t>
      </w:r>
      <w:r>
        <w:rPr>
          <w:rFonts w:hint="eastAsia" w:ascii="仿宋" w:hAnsi="仿宋" w:eastAsia="仿宋"/>
          <w:sz w:val="32"/>
          <w:szCs w:val="32"/>
          <w:lang w:val="en-US"/>
        </w:rPr>
        <w:t>推进</w:t>
      </w:r>
      <w:r>
        <w:rPr>
          <w:rFonts w:hint="eastAsia" w:ascii="仿宋" w:hAnsi="仿宋" w:eastAsia="仿宋"/>
          <w:sz w:val="32"/>
          <w:szCs w:val="32"/>
        </w:rPr>
        <w:t>航空消防救援站建设。为适应森林消防救援需求，在琅琊区和南谯区各建设1座具备森林消防救援、地质灾害救援和其它日常消防救援能力的消防站。推进充电桩、小区停车位、马路潮汐式停车位建设，结合城市规划和</w:t>
      </w:r>
      <w:r>
        <w:rPr>
          <w:rFonts w:hint="eastAsia" w:ascii="仿宋" w:hAnsi="仿宋" w:eastAsia="仿宋"/>
          <w:sz w:val="32"/>
          <w:szCs w:val="32"/>
          <w:lang w:val="en-US"/>
        </w:rPr>
        <w:t>城市更新</w:t>
      </w:r>
      <w:r>
        <w:rPr>
          <w:rFonts w:hint="eastAsia" w:ascii="仿宋" w:hAnsi="仿宋" w:eastAsia="仿宋"/>
          <w:sz w:val="32"/>
          <w:szCs w:val="32"/>
        </w:rPr>
        <w:t>，打通</w:t>
      </w:r>
      <w:r>
        <w:rPr>
          <w:rFonts w:hint="eastAsia" w:ascii="仿宋" w:hAnsi="仿宋" w:eastAsia="仿宋"/>
          <w:sz w:val="32"/>
          <w:szCs w:val="32"/>
          <w:lang w:val="en-US"/>
        </w:rPr>
        <w:t>老</w:t>
      </w:r>
      <w:r>
        <w:rPr>
          <w:rFonts w:hint="eastAsia" w:ascii="仿宋" w:hAnsi="仿宋" w:eastAsia="仿宋"/>
          <w:sz w:val="32"/>
          <w:szCs w:val="32"/>
        </w:rPr>
        <w:t>城区的消防通道，全面畅通单位、居民住宅区、市场、在建工地等场所的消防通道。在</w:t>
      </w:r>
      <w:r>
        <w:rPr>
          <w:rFonts w:hint="eastAsia" w:ascii="仿宋" w:hAnsi="仿宋" w:eastAsia="仿宋"/>
          <w:sz w:val="32"/>
          <w:szCs w:val="32"/>
          <w:lang w:val="en-US"/>
        </w:rPr>
        <w:t>具备</w:t>
      </w:r>
      <w:r>
        <w:rPr>
          <w:rFonts w:hint="eastAsia" w:ascii="仿宋" w:hAnsi="仿宋" w:eastAsia="仿宋"/>
          <w:sz w:val="32"/>
          <w:szCs w:val="32"/>
        </w:rPr>
        <w:t>条件的消防站管辖区，利用天然水源、湖泊、河流设置一定数量的消防取水</w:t>
      </w:r>
      <w:r>
        <w:rPr>
          <w:rFonts w:hint="eastAsia" w:ascii="仿宋" w:hAnsi="仿宋" w:eastAsia="仿宋"/>
          <w:sz w:val="32"/>
          <w:szCs w:val="32"/>
          <w:lang w:val="en-US"/>
        </w:rPr>
        <w:t>站台</w:t>
      </w:r>
      <w:r>
        <w:rPr>
          <w:rFonts w:hint="eastAsia" w:ascii="仿宋" w:hAnsi="仿宋" w:eastAsia="仿宋"/>
          <w:sz w:val="32"/>
          <w:szCs w:val="32"/>
        </w:rPr>
        <w:t>（码头），</w:t>
      </w:r>
      <w:r>
        <w:rPr>
          <w:rFonts w:hint="eastAsia" w:ascii="仿宋" w:hAnsi="仿宋" w:eastAsia="仿宋"/>
          <w:sz w:val="32"/>
          <w:szCs w:val="32"/>
          <w:lang w:val="en-US"/>
        </w:rPr>
        <w:t>建设</w:t>
      </w:r>
      <w:r>
        <w:rPr>
          <w:rFonts w:hint="eastAsia" w:ascii="仿宋" w:hAnsi="仿宋" w:eastAsia="仿宋"/>
          <w:sz w:val="32"/>
          <w:szCs w:val="32"/>
        </w:rPr>
        <w:t>相应的道路设施。切实加强城市给水工程建设，进一步提高城市综合供水能力，保证消防给水的水量和水压要求。扩大供水规模，完善老城区和新型功能区的管网系统，市政消火栓按</w:t>
      </w:r>
      <w:r>
        <w:rPr>
          <w:rFonts w:hint="eastAsia" w:ascii="仿宋" w:hAnsi="仿宋" w:eastAsia="仿宋"/>
          <w:sz w:val="32"/>
          <w:szCs w:val="32"/>
          <w:lang w:val="en-US"/>
        </w:rPr>
        <w:t>间距不应大于120M进行</w:t>
      </w:r>
      <w:r>
        <w:rPr>
          <w:rFonts w:hint="eastAsia" w:ascii="仿宋" w:hAnsi="仿宋" w:eastAsia="仿宋"/>
          <w:sz w:val="32"/>
          <w:szCs w:val="32"/>
        </w:rPr>
        <w:t>设置，消防水鹤按</w:t>
      </w:r>
      <w:r>
        <w:rPr>
          <w:rFonts w:hint="eastAsia" w:ascii="仿宋" w:hAnsi="仿宋" w:eastAsia="仿宋"/>
          <w:sz w:val="32"/>
          <w:szCs w:val="32"/>
          <w:lang w:val="en-US"/>
        </w:rPr>
        <w:t>每</w:t>
      </w:r>
      <w:r>
        <w:rPr>
          <w:rFonts w:hint="eastAsia" w:ascii="仿宋" w:hAnsi="仿宋" w:eastAsia="仿宋"/>
          <w:sz w:val="32"/>
          <w:szCs w:val="32"/>
        </w:rPr>
        <w:t>平方公里</w:t>
      </w:r>
      <w:r>
        <w:rPr>
          <w:rFonts w:hint="eastAsia" w:ascii="仿宋" w:hAnsi="仿宋" w:eastAsia="仿宋"/>
          <w:sz w:val="32"/>
          <w:szCs w:val="32"/>
          <w:lang w:val="en-US"/>
        </w:rPr>
        <w:t>1个进行</w:t>
      </w:r>
      <w:r>
        <w:rPr>
          <w:rFonts w:hint="eastAsia" w:ascii="仿宋" w:hAnsi="仿宋" w:eastAsia="仿宋"/>
          <w:sz w:val="32"/>
          <w:szCs w:val="32"/>
        </w:rPr>
        <w:t>设置。建立现代化消防通信指挥系统及相关配套设施，全面改造升级各县（市、区）的消防救援指挥中心。加强城市消防电网建设，确保城市消防通信指挥系统的供电安全，完善全市消防通信计算机网络系统、有线/无线通信系统等基础通信网络设施，建设多功能、自动化、智能化、数字化、综合化、现代化、网络化的城市消防通信指挥系统。加快建设集消防图像融合、消防车辆调度等功能于一体的</w:t>
      </w:r>
      <w:r>
        <w:rPr>
          <w:rFonts w:hint="eastAsia" w:ascii="仿宋" w:hAnsi="仿宋" w:eastAsia="仿宋"/>
          <w:sz w:val="32"/>
          <w:szCs w:val="32"/>
          <w:lang w:val="en-US"/>
        </w:rPr>
        <w:t>消防</w:t>
      </w:r>
      <w:r>
        <w:rPr>
          <w:rFonts w:hint="eastAsia" w:ascii="仿宋" w:hAnsi="仿宋" w:eastAsia="仿宋"/>
          <w:sz w:val="32"/>
          <w:szCs w:val="32"/>
        </w:rPr>
        <w:t>指挥决策“一张图”信息支撑系统。</w:t>
      </w:r>
    </w:p>
    <w:p>
      <w:pPr>
        <w:adjustRightInd/>
        <w:spacing w:line="580" w:lineRule="exact"/>
        <w:ind w:firstLine="643"/>
        <w:jc w:val="both"/>
        <w:rPr>
          <w:rFonts w:ascii="仿宋" w:hAnsi="仿宋" w:eastAsia="仿宋"/>
          <w:sz w:val="32"/>
          <w:szCs w:val="32"/>
        </w:rPr>
      </w:pPr>
      <w:r>
        <w:rPr>
          <w:rFonts w:hint="eastAsia" w:ascii="楷体" w:hAnsi="楷体" w:eastAsia="楷体"/>
          <w:b/>
          <w:bCs/>
          <w:sz w:val="32"/>
          <w:szCs w:val="32"/>
        </w:rPr>
        <w:t>（</w:t>
      </w:r>
      <w:r>
        <w:rPr>
          <w:rFonts w:hint="eastAsia" w:ascii="楷体" w:hAnsi="楷体" w:eastAsia="楷体"/>
          <w:b/>
          <w:bCs/>
          <w:sz w:val="32"/>
          <w:szCs w:val="32"/>
          <w:lang w:val="en-US"/>
        </w:rPr>
        <w:t>四</w:t>
      </w:r>
      <w:r>
        <w:rPr>
          <w:rFonts w:hint="eastAsia" w:ascii="楷体" w:hAnsi="楷体" w:eastAsia="楷体"/>
          <w:b/>
          <w:bCs/>
          <w:sz w:val="32"/>
          <w:szCs w:val="32"/>
        </w:rPr>
        <w:t>）层层压实消防安全责任。</w:t>
      </w:r>
      <w:r>
        <w:rPr>
          <w:rFonts w:hint="eastAsia" w:ascii="仿宋" w:hAnsi="仿宋" w:eastAsia="仿宋"/>
          <w:sz w:val="32"/>
          <w:szCs w:val="32"/>
        </w:rPr>
        <w:t>深入贯彻落实《</w:t>
      </w:r>
      <w:r>
        <w:rPr>
          <w:rFonts w:hint="eastAsia" w:ascii="仿宋" w:hAnsi="仿宋" w:eastAsia="仿宋"/>
          <w:sz w:val="32"/>
          <w:szCs w:val="32"/>
          <w:lang w:val="en-US"/>
        </w:rPr>
        <w:t>中华人民共和国消防法</w:t>
      </w:r>
      <w:r>
        <w:rPr>
          <w:rFonts w:hint="eastAsia" w:ascii="仿宋" w:hAnsi="仿宋" w:eastAsia="仿宋"/>
          <w:sz w:val="32"/>
          <w:szCs w:val="32"/>
        </w:rPr>
        <w:t>》《</w:t>
      </w:r>
      <w:r>
        <w:rPr>
          <w:rFonts w:hint="eastAsia" w:ascii="仿宋" w:hAnsi="仿宋" w:eastAsia="仿宋"/>
          <w:sz w:val="32"/>
          <w:szCs w:val="32"/>
          <w:lang w:val="en-US"/>
        </w:rPr>
        <w:t>安徽省消防条例</w:t>
      </w:r>
      <w:r>
        <w:rPr>
          <w:rFonts w:hint="eastAsia" w:ascii="仿宋" w:hAnsi="仿宋" w:eastAsia="仿宋"/>
          <w:sz w:val="32"/>
          <w:szCs w:val="32"/>
        </w:rPr>
        <w:t>》《滁州市消防安全责任制实施办法》，进一步细化、量化县（市、区）、乡镇(街道）、行业主管部门、社会单位的消防安全责任，坚持党政同责、一岗双责、齐抓共管、失职追责的原则，</w:t>
      </w:r>
      <w:r>
        <w:rPr>
          <w:rFonts w:hint="eastAsia" w:ascii="仿宋" w:hAnsi="仿宋" w:eastAsia="仿宋"/>
          <w:sz w:val="32"/>
          <w:szCs w:val="32"/>
          <w:lang w:val="en-US"/>
        </w:rPr>
        <w:t>从2021年开始</w:t>
      </w:r>
      <w:r>
        <w:rPr>
          <w:rFonts w:hint="eastAsia" w:ascii="仿宋" w:hAnsi="仿宋" w:eastAsia="仿宋"/>
          <w:sz w:val="32"/>
          <w:szCs w:val="32"/>
        </w:rPr>
        <w:t>将消防安全责任制落实情况纳入各级政府、各行业主管部门年终考核项目。强化街道乡镇消防安全工作职责和消防安全网格管理，发挥消防救援机构参谋助手作用，组织实名制消防监督力量与街道乡镇责任捆绑，研究制定更加直接、具体、易懂和便于操作的措施标准，提升基层消防工作水平。培育消防志愿者服务队，用好第三方社会力量协助开展风险评估、隐患排查、技术指导等工作。广泛动员群众</w:t>
      </w:r>
      <w:r>
        <w:rPr>
          <w:rFonts w:hint="eastAsia" w:ascii="仿宋" w:hAnsi="仿宋" w:eastAsia="仿宋"/>
          <w:sz w:val="32"/>
          <w:szCs w:val="32"/>
          <w:lang w:val="en-US"/>
        </w:rPr>
        <w:t>积极参与消防</w:t>
      </w:r>
      <w:r>
        <w:rPr>
          <w:rFonts w:hint="eastAsia" w:ascii="仿宋" w:hAnsi="仿宋" w:eastAsia="仿宋"/>
          <w:sz w:val="32"/>
          <w:szCs w:val="32"/>
        </w:rPr>
        <w:t>，筑牢全市防火墙。</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（五）建设</w:t>
      </w:r>
      <w:r>
        <w:rPr>
          <w:rFonts w:hint="eastAsia" w:ascii="楷体" w:hAnsi="楷体" w:eastAsia="楷体"/>
          <w:b/>
          <w:bCs/>
          <w:sz w:val="32"/>
          <w:szCs w:val="32"/>
          <w:lang w:val="en-US"/>
        </w:rPr>
        <w:t>消防</w:t>
      </w:r>
      <w:r>
        <w:rPr>
          <w:rFonts w:hint="eastAsia" w:ascii="楷体" w:hAnsi="楷体" w:eastAsia="楷体"/>
          <w:b/>
          <w:bCs/>
          <w:sz w:val="32"/>
          <w:szCs w:val="32"/>
        </w:rPr>
        <w:t>隐患“自知自查自改”体系。</w:t>
      </w:r>
      <w:r>
        <w:rPr>
          <w:rFonts w:hint="eastAsia" w:ascii="仿宋" w:hAnsi="仿宋" w:eastAsia="仿宋"/>
          <w:sz w:val="32"/>
          <w:szCs w:val="32"/>
        </w:rPr>
        <w:t>聚焦“不起火、不扩大、不亡人”三道防线，研究制定个体经营户、企业员工、在校学生等不同人群认知、查找、鉴别、消除、防范、管控火灾风险隐患的方法和对策，建立适用于不同场所、不同人群的火灾风险隐患“自知、自查、自改”治理体系，指导各单位、不同人群开展火灾隐患自知、自查、自改。坚持“全民消防”理念，从鼓励引导与强制约束两方面，制定出台适合滁州地方特点的“安全自查、隐患自除、责任自负”制度，利用“</w:t>
      </w:r>
      <w:bookmarkStart w:id="34" w:name="_Hlk86225055"/>
      <w:r>
        <w:rPr>
          <w:rFonts w:hint="eastAsia" w:ascii="仿宋" w:hAnsi="仿宋" w:eastAsia="仿宋"/>
          <w:sz w:val="32"/>
          <w:szCs w:val="32"/>
        </w:rPr>
        <w:t>皖事通</w:t>
      </w:r>
      <w:bookmarkEnd w:id="34"/>
      <w:r>
        <w:rPr>
          <w:rFonts w:hint="eastAsia" w:ascii="仿宋" w:hAnsi="仿宋" w:eastAsia="仿宋"/>
          <w:sz w:val="32"/>
          <w:szCs w:val="32"/>
        </w:rPr>
        <w:t>˙惠滁州”等平台，大力推行基于“互联网+”的隐患自知自查自改，创新火灾风险隐患社会化治理手段，全面提升全民火灾风险防范意识。</w:t>
      </w:r>
    </w:p>
    <w:p>
      <w:pPr>
        <w:spacing w:line="580" w:lineRule="exact"/>
        <w:ind w:firstLine="643"/>
        <w:jc w:val="both"/>
        <w:rPr>
          <w:rFonts w:ascii="仿宋" w:hAnsi="仿宋" w:eastAsia="仿宋"/>
          <w:color w:val="000000" w:themeColor="text1"/>
          <w:sz w:val="36"/>
          <w:szCs w:val="36"/>
          <w14:textFill>
            <w14:solidFill>
              <w14:schemeClr w14:val="tx1"/>
            </w14:solidFill>
          </w14:textFill>
        </w:rPr>
      </w:pPr>
      <w:r>
        <w:rPr>
          <w:rFonts w:hint="eastAsia" w:ascii="楷体" w:hAnsi="楷体" w:eastAsia="楷体"/>
          <w:b/>
          <w:bCs/>
          <w:sz w:val="32"/>
          <w:szCs w:val="32"/>
        </w:rPr>
        <w:t>（</w:t>
      </w:r>
      <w:r>
        <w:rPr>
          <w:rFonts w:hint="eastAsia" w:ascii="楷体" w:hAnsi="楷体" w:eastAsia="楷体"/>
          <w:b/>
          <w:bCs/>
          <w:sz w:val="32"/>
          <w:szCs w:val="32"/>
          <w:lang w:val="en-US"/>
        </w:rPr>
        <w:t>六</w:t>
      </w:r>
      <w:r>
        <w:rPr>
          <w:rFonts w:hint="eastAsia" w:ascii="楷体" w:hAnsi="楷体" w:eastAsia="楷体"/>
          <w:b/>
          <w:bCs/>
          <w:sz w:val="32"/>
          <w:szCs w:val="32"/>
        </w:rPr>
        <w:t>）加强重点行业及场所火灾风险管控。</w:t>
      </w:r>
      <w:r>
        <w:rPr>
          <w:rFonts w:hint="eastAsia" w:ascii="仿宋" w:hAnsi="仿宋" w:eastAsia="仿宋"/>
          <w:sz w:val="32"/>
          <w:szCs w:val="32"/>
        </w:rPr>
        <w:t>严格人员密集场所、高层建筑、大型商业综合体、地下建筑、石油化工企业、九小场所、物流仓储企业、文物古建、养老服务机构、幼儿教育等重要场所的消防安全管理，适时开展消防安全专项整治，建立常态化火灾隐患排查整治机制，强化消防安全管控措施，排查解决消防设施、消防系统隐患。督促指导单位开展动态火灾风险评估，与周边单位建立联防联动机制，安装消防设施远程监控系统、电气火灾监控系统等技防设施，高规格建设和实效化</w:t>
      </w:r>
      <w:r>
        <w:rPr>
          <w:rFonts w:hint="eastAsia" w:ascii="仿宋" w:hAnsi="仿宋" w:eastAsia="仿宋"/>
          <w:sz w:val="32"/>
          <w:szCs w:val="32"/>
          <w:lang w:val="en-US"/>
        </w:rPr>
        <w:t>联动</w:t>
      </w:r>
      <w:r>
        <w:rPr>
          <w:rFonts w:hint="eastAsia" w:ascii="仿宋" w:hAnsi="仿宋" w:eastAsia="仿宋"/>
          <w:sz w:val="32"/>
          <w:szCs w:val="32"/>
        </w:rPr>
        <w:t>微型消防站。分类施策，强力整治老旧小区、城乡结合部、物流仓储场所、“三合一”场所等火灾防控薄弱环节的突出火灾隐患，</w:t>
      </w:r>
      <w:r>
        <w:rPr>
          <w:rFonts w:hint="eastAsia" w:ascii="仿宋" w:hAnsi="仿宋" w:eastAsia="仿宋"/>
          <w:sz w:val="32"/>
          <w:szCs w:val="32"/>
          <w:lang w:val="en-US"/>
        </w:rPr>
        <w:t>清除</w:t>
      </w:r>
      <w:r>
        <w:rPr>
          <w:rFonts w:hint="eastAsia" w:ascii="仿宋" w:hAnsi="仿宋" w:eastAsia="仿宋"/>
          <w:sz w:val="32"/>
          <w:szCs w:val="32"/>
        </w:rPr>
        <w:t>违规生产、储存、经营场所，拆除违法建筑。</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w:t>
      </w:r>
      <w:r>
        <w:rPr>
          <w:rFonts w:hint="eastAsia" w:ascii="楷体" w:hAnsi="楷体" w:eastAsia="楷体"/>
          <w:b/>
          <w:bCs/>
          <w:sz w:val="32"/>
          <w:szCs w:val="32"/>
          <w:lang w:val="en-US"/>
        </w:rPr>
        <w:t>七</w:t>
      </w:r>
      <w:r>
        <w:rPr>
          <w:rFonts w:hint="eastAsia" w:ascii="楷体" w:hAnsi="楷体" w:eastAsia="楷体"/>
          <w:b/>
          <w:bCs/>
          <w:sz w:val="32"/>
          <w:szCs w:val="32"/>
        </w:rPr>
        <w:t>）加强新材料新业态突出火灾风险治理。</w:t>
      </w:r>
      <w:r>
        <w:rPr>
          <w:rFonts w:hint="eastAsia" w:ascii="仿宋" w:hAnsi="仿宋" w:eastAsia="仿宋"/>
          <w:sz w:val="32"/>
          <w:szCs w:val="32"/>
        </w:rPr>
        <w:t>常态化开展针对全市新型化工、新型建筑、新能源、新材料等相关产业的火灾风险评估。评估全市电子商务、现代物流、新型商业等新业态消防安全风险，强化行业消防管理措施，提高安全设防等级。依法查处违法违规生产、销售新能源汽车、电动自行车以及改装电池行为，建立公布曝光、联合管理机制。推动居住小区落实电动自行车集中管理，在居住小区设置电动自行车集中充电、停放场所；持续整治违规私拉电线、电缆为电动汽车、电动自行车和电动三轮车充电行为。依法整改、拆除人员密集场所、施工现场违规搭建的易燃可燃材料彩钢板房。</w:t>
      </w:r>
    </w:p>
    <w:p>
      <w:pPr>
        <w:spacing w:line="580" w:lineRule="exact"/>
        <w:ind w:firstLine="643"/>
        <w:jc w:val="both"/>
        <w:rPr>
          <w:rFonts w:ascii="仿宋" w:hAnsi="仿宋" w:eastAsia="仿宋"/>
          <w:sz w:val="32"/>
          <w:szCs w:val="32"/>
          <w:lang w:val="en-US"/>
        </w:rPr>
      </w:pPr>
      <w:bookmarkStart w:id="35" w:name="_Toc57646716"/>
      <w:bookmarkStart w:id="36" w:name="_Toc56702436"/>
      <w:r>
        <w:rPr>
          <w:rFonts w:hint="eastAsia" w:ascii="楷体" w:hAnsi="楷体" w:eastAsia="楷体"/>
          <w:b/>
          <w:bCs/>
          <w:sz w:val="32"/>
          <w:szCs w:val="32"/>
        </w:rPr>
        <w:t>（</w:t>
      </w:r>
      <w:r>
        <w:rPr>
          <w:rFonts w:hint="eastAsia" w:ascii="楷体" w:hAnsi="楷体" w:eastAsia="楷体"/>
          <w:b/>
          <w:bCs/>
          <w:sz w:val="32"/>
          <w:szCs w:val="32"/>
          <w:lang w:val="en-US"/>
        </w:rPr>
        <w:t>八</w:t>
      </w:r>
      <w:r>
        <w:rPr>
          <w:rFonts w:hint="eastAsia" w:ascii="楷体" w:hAnsi="楷体" w:eastAsia="楷体"/>
          <w:b/>
          <w:bCs/>
          <w:sz w:val="32"/>
          <w:szCs w:val="32"/>
        </w:rPr>
        <w:t>）</w:t>
      </w:r>
      <w:r>
        <w:rPr>
          <w:rFonts w:hint="eastAsia" w:ascii="楷体" w:hAnsi="楷体" w:eastAsia="楷体"/>
          <w:b/>
          <w:bCs/>
          <w:sz w:val="32"/>
          <w:szCs w:val="32"/>
          <w:lang w:val="en-US"/>
        </w:rPr>
        <w:t>构建</w:t>
      </w:r>
      <w:r>
        <w:rPr>
          <w:rFonts w:hint="eastAsia" w:ascii="楷体" w:hAnsi="楷体" w:eastAsia="楷体"/>
          <w:b/>
          <w:bCs/>
          <w:sz w:val="32"/>
          <w:szCs w:val="32"/>
        </w:rPr>
        <w:t>乡镇消防安全</w:t>
      </w:r>
      <w:r>
        <w:rPr>
          <w:rFonts w:hint="eastAsia" w:ascii="楷体" w:hAnsi="楷体" w:eastAsia="楷体"/>
          <w:b/>
          <w:bCs/>
          <w:sz w:val="32"/>
          <w:szCs w:val="32"/>
          <w:lang w:val="en-US"/>
        </w:rPr>
        <w:t>治理新模式</w:t>
      </w:r>
      <w:r>
        <w:rPr>
          <w:rFonts w:hint="eastAsia" w:ascii="楷体" w:hAnsi="楷体" w:eastAsia="楷体"/>
          <w:b/>
          <w:bCs/>
          <w:sz w:val="32"/>
          <w:szCs w:val="32"/>
        </w:rPr>
        <w:t>。</w:t>
      </w:r>
      <w:r>
        <w:rPr>
          <w:rFonts w:hint="eastAsia" w:ascii="仿宋" w:hAnsi="仿宋" w:eastAsia="仿宋"/>
          <w:sz w:val="32"/>
          <w:szCs w:val="32"/>
          <w:lang w:val="en-US"/>
        </w:rPr>
        <w:t>2023年全市完成构建“一镇一委一站、一村一队一员”</w:t>
      </w:r>
      <w:r>
        <w:rPr>
          <w:rFonts w:hint="eastAsia" w:ascii="仿宋" w:hAnsi="仿宋" w:eastAsia="仿宋"/>
          <w:sz w:val="32"/>
          <w:szCs w:val="32"/>
          <w:vertAlign w:val="superscript"/>
          <w:lang w:val="en-US"/>
        </w:rPr>
        <w:t>[</w:t>
      </w:r>
      <w:r>
        <w:rPr>
          <w:rFonts w:ascii="仿宋" w:hAnsi="仿宋" w:eastAsia="仿宋"/>
          <w:sz w:val="32"/>
          <w:szCs w:val="32"/>
          <w:vertAlign w:val="superscript"/>
          <w:lang w:val="en-US"/>
        </w:rPr>
        <w:t>8</w:t>
      </w:r>
      <w:r>
        <w:rPr>
          <w:rFonts w:hint="eastAsia" w:ascii="仿宋" w:hAnsi="仿宋" w:eastAsia="仿宋"/>
          <w:sz w:val="32"/>
          <w:szCs w:val="32"/>
          <w:vertAlign w:val="superscript"/>
          <w:lang w:val="en-US"/>
        </w:rPr>
        <w:t>]</w:t>
      </w:r>
      <w:r>
        <w:rPr>
          <w:rFonts w:hint="eastAsia" w:ascii="仿宋" w:hAnsi="仿宋" w:eastAsia="仿宋"/>
          <w:sz w:val="32"/>
          <w:szCs w:val="32"/>
          <w:lang w:val="en-US"/>
        </w:rPr>
        <w:t>的防灭一体乡镇消防安全治理新模式，即每个乡镇（街道）成立消防安全委员会和消防工作站，由乡镇（街道）统一领导和管理，消防救援机构给予业务指导，每村建成一支志愿消防队和设置一名消防网格员，确保常态化、全覆盖开展应急救援、隐患排查、消防宣传等防灭火工作。2022年完成乡镇消防安全新治理模式试点工作，2023年在全市所有乡镇推广落实。推进农村消防基础设施建设和改造</w:t>
      </w:r>
      <w:bookmarkEnd w:id="35"/>
      <w:bookmarkEnd w:id="36"/>
      <w:bookmarkStart w:id="37" w:name="_Toc56702437"/>
      <w:bookmarkStart w:id="38" w:name="_Toc57646717"/>
      <w:r>
        <w:rPr>
          <w:rFonts w:hint="eastAsia" w:ascii="仿宋" w:hAnsi="仿宋" w:eastAsia="仿宋"/>
          <w:sz w:val="32"/>
          <w:szCs w:val="32"/>
          <w:lang w:val="en-US"/>
        </w:rPr>
        <w:t>，结合美丽乡村建设，</w:t>
      </w:r>
      <w:bookmarkEnd w:id="37"/>
      <w:bookmarkEnd w:id="38"/>
      <w:r>
        <w:rPr>
          <w:rFonts w:hint="eastAsia" w:ascii="仿宋" w:hAnsi="仿宋" w:eastAsia="仿宋"/>
          <w:sz w:val="32"/>
          <w:szCs w:val="32"/>
          <w:lang w:val="en-US"/>
        </w:rPr>
        <w:t>在乡村道路、人畜饮水工程等农村公共基础设施建设中，统筹建设消防车通道、消防水源，新建、改建农村自来水管网时，按照规定配置消火栓。电力运营单位推进“进村入户”电气安全检查，排查农村电气安全隐患，指导提升农村用火用电安全水平。</w:t>
      </w:r>
    </w:p>
    <w:p>
      <w:pPr>
        <w:pStyle w:val="2"/>
        <w:ind w:left="560" w:firstLine="560"/>
        <w:rPr>
          <w:lang w:val="en-US"/>
        </w:rPr>
      </w:pPr>
    </w:p>
    <w:p>
      <w:pPr>
        <w:spacing w:before="260" w:after="260" w:line="580" w:lineRule="exact"/>
        <w:ind w:firstLine="643"/>
        <w:jc w:val="both"/>
        <w:outlineLvl w:val="1"/>
        <w:rPr>
          <w:rFonts w:ascii="黑体" w:hAnsi="黑体" w:eastAsia="黑体"/>
          <w:b/>
          <w:sz w:val="32"/>
          <w:szCs w:val="32"/>
          <w:lang w:val="en-US"/>
        </w:rPr>
      </w:pPr>
      <w:bookmarkStart w:id="39" w:name="_Toc89958963"/>
      <w:bookmarkStart w:id="40" w:name="_Toc54690463"/>
      <w:bookmarkStart w:id="41" w:name="_Toc57646728"/>
      <w:r>
        <w:rPr>
          <w:rFonts w:hint="eastAsia" w:ascii="黑体" w:hAnsi="黑体" w:eastAsia="黑体"/>
          <w:b/>
          <w:sz w:val="32"/>
          <w:szCs w:val="32"/>
          <w:lang w:val="en-US"/>
        </w:rPr>
        <w:t>二、全面提高各种灾害事故应对处置能力</w:t>
      </w:r>
      <w:bookmarkEnd w:id="39"/>
      <w:bookmarkEnd w:id="40"/>
      <w:bookmarkEnd w:id="41"/>
    </w:p>
    <w:p>
      <w:pPr>
        <w:spacing w:line="580" w:lineRule="exact"/>
        <w:ind w:firstLine="643"/>
        <w:jc w:val="both"/>
        <w:rPr>
          <w:rFonts w:ascii="仿宋" w:hAnsi="仿宋" w:eastAsia="仿宋"/>
          <w:sz w:val="32"/>
          <w:szCs w:val="32"/>
        </w:rPr>
      </w:pPr>
      <w:r>
        <w:rPr>
          <w:rFonts w:hint="eastAsia" w:ascii="楷体" w:hAnsi="楷体" w:eastAsia="楷体"/>
          <w:b/>
          <w:bCs/>
          <w:sz w:val="32"/>
          <w:szCs w:val="32"/>
        </w:rPr>
        <w:t>（一）提升各类灾害综合救援能力。</w:t>
      </w:r>
      <w:r>
        <w:rPr>
          <w:rFonts w:hint="eastAsia" w:ascii="仿宋" w:hAnsi="仿宋" w:eastAsia="仿宋"/>
          <w:sz w:val="32"/>
          <w:szCs w:val="32"/>
        </w:rPr>
        <w:t>加强车辆装备保障，按实际需求补足消防救援车辆，实现消防车辆智慧联网，依托先进救援装备，打造</w:t>
      </w:r>
      <w:r>
        <w:rPr>
          <w:rFonts w:ascii="仿宋" w:hAnsi="仿宋" w:eastAsia="仿宋"/>
          <w:sz w:val="32"/>
          <w:szCs w:val="32"/>
        </w:rPr>
        <w:t>“</w:t>
      </w:r>
      <w:r>
        <w:rPr>
          <w:rFonts w:hint="eastAsia" w:ascii="仿宋" w:hAnsi="仿宋" w:eastAsia="仿宋"/>
          <w:sz w:val="32"/>
          <w:szCs w:val="32"/>
        </w:rPr>
        <w:t>高层及地下救援”“化工救援”“抗洪抢险救援”“交通（轨道）救援”“森林综合救援”“地震灾害救援”“公共卫生及社会公共安全事件辅助救援” 7支专业救援队伍，建设1支搜救犬中队。全面建设以专业综合性消防救援力量为主，专职消防队伍、志愿者队伍为辅的多元梯次消防救援力量。建立“全领域、全覆盖”应急联动网络，整合政府应急联动部门信息资源，建立应急救援信息共享、救援队伍跨区域投送保障和专业能力交流委培机制。建立健全特种灾害救援预案管理体系，以灾害类型为区分，编制《特种灾害救援预案编制标准》，完善预案分级编制、专家论证、拉动演练、更新修订机制，形成“同步响应、逐级深化、互为补充”的类型预案体系。与民间救援队及志愿者队伍建立联勤联动、联防联控和会商制度，开展联合综合演练。与滁州市周边城市建立重特大灾害跨区域协同救援机制，协调落实多元化运输保障方案。</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（二）完善综合消防救援指挥体系。</w:t>
      </w:r>
      <w:r>
        <w:rPr>
          <w:rFonts w:hint="eastAsia" w:ascii="仿宋" w:hAnsi="仿宋" w:eastAsia="仿宋"/>
          <w:sz w:val="32"/>
          <w:szCs w:val="32"/>
        </w:rPr>
        <w:t>引入云计算、大数据、物联网、人工智能、移动互联网等先进技术，进一步完善消防通信指挥体系，以信息化手段推进消防救援体系和救援能力现代化，满足消防救援队伍对响应速度、调度指挥、现场作业、科学施救等方面综合能力的更高需求。全面保障“途中通信”“现场指挥通信”，整合现有4G</w:t>
      </w:r>
      <w:r>
        <w:rPr>
          <w:rFonts w:ascii="仿宋" w:hAnsi="仿宋" w:eastAsia="仿宋"/>
          <w:sz w:val="32"/>
          <w:szCs w:val="32"/>
        </w:rPr>
        <w:t>/5G</w:t>
      </w:r>
      <w:r>
        <w:rPr>
          <w:rFonts w:hint="eastAsia" w:ascii="仿宋" w:hAnsi="仿宋" w:eastAsia="仿宋"/>
          <w:sz w:val="32"/>
          <w:szCs w:val="32"/>
        </w:rPr>
        <w:t>公网、通信专网、WiFi网络、Mesh无线网格网络、350M</w:t>
      </w:r>
      <w:r>
        <w:rPr>
          <w:rFonts w:ascii="仿宋" w:hAnsi="仿宋" w:eastAsia="仿宋"/>
          <w:sz w:val="32"/>
          <w:szCs w:val="32"/>
        </w:rPr>
        <w:t>Hz</w:t>
      </w:r>
      <w:r>
        <w:rPr>
          <w:rFonts w:hint="eastAsia" w:ascii="仿宋" w:hAnsi="仿宋" w:eastAsia="仿宋"/>
          <w:sz w:val="32"/>
          <w:szCs w:val="32"/>
        </w:rPr>
        <w:t>数字集群通信网络，融合成统一的应急通信网络。建设卫星通信指挥网络，在发生重大灾害导致地面通信系统瘫痪时，利用移动通信卫星保障消防救援指挥通信。推进</w:t>
      </w:r>
      <w:r>
        <w:rPr>
          <w:rFonts w:ascii="仿宋" w:hAnsi="仿宋" w:eastAsia="仿宋"/>
          <w:sz w:val="32"/>
          <w:szCs w:val="32"/>
        </w:rPr>
        <w:t>智能网联消防救援系统</w:t>
      </w:r>
      <w:r>
        <w:rPr>
          <w:rFonts w:hint="eastAsia" w:ascii="仿宋" w:hAnsi="仿宋" w:eastAsia="仿宋"/>
          <w:sz w:val="32"/>
          <w:szCs w:val="32"/>
        </w:rPr>
        <w:t>建设，通过整合警情数据、火灾数据、火灾隐患、消防站布点、执勤车辆装备工况和性能、各类救援器材、重点公共建筑、高层建筑、重点单位、危化品企业等各类数据，建成各类消防大数据库，研发实战应用系统，形成“全流程、全要素</w:t>
      </w:r>
      <w:r>
        <w:rPr>
          <w:rFonts w:ascii="仿宋" w:hAnsi="仿宋" w:eastAsia="仿宋"/>
          <w:sz w:val="32"/>
          <w:szCs w:val="32"/>
        </w:rPr>
        <w:t>”</w:t>
      </w:r>
      <w:r>
        <w:rPr>
          <w:rFonts w:hint="eastAsia" w:ascii="仿宋" w:hAnsi="仿宋" w:eastAsia="仿宋"/>
          <w:sz w:val="32"/>
          <w:szCs w:val="32"/>
        </w:rPr>
        <w:t>一张图作战指挥。实现全信息全媒体智慧独立接处警，报警时可将灾害现场的位置、图像、视频等数据第一时间上传到指挥中心，做到主城区人员拨打119由支队统一接警并调派主城区消防救援站和专职消防队，六县（市）拨打119由系统根据定位字段，自动转接至辖区大队指挥中心接听并调派消防救援站和专职消防队。</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（三）健全战勤保障体系。</w:t>
      </w:r>
      <w:r>
        <w:rPr>
          <w:rFonts w:hint="eastAsia" w:ascii="仿宋" w:hAnsi="仿宋" w:eastAsia="仿宋"/>
          <w:sz w:val="32"/>
          <w:szCs w:val="32"/>
        </w:rPr>
        <w:t>提高现有战勤保障站水平，建设分布式与集中式相结合的战勤保障体系，根据辖区救援特点，以</w:t>
      </w:r>
      <w:r>
        <w:rPr>
          <w:rFonts w:hint="eastAsia" w:ascii="仿宋" w:hAnsi="仿宋" w:eastAsia="仿宋"/>
          <w:sz w:val="32"/>
          <w:szCs w:val="32"/>
          <w:lang w:val="en-US"/>
        </w:rPr>
        <w:t>消防站</w:t>
      </w:r>
      <w:r>
        <w:rPr>
          <w:rFonts w:hint="eastAsia" w:ascii="仿宋" w:hAnsi="仿宋" w:eastAsia="仿宋"/>
          <w:sz w:val="32"/>
          <w:szCs w:val="32"/>
        </w:rPr>
        <w:t>为依托成立战勤保障分队，实行集中保障、分片供给，充实物资储备，完善战勤保障应急响应机制并在城区重点区域布置小型保障站。针对区域灾害类型和任务特点，进一步加强战勤保障类消防车的配备以及应急物资的储备，强化战勤保障站和社会单位在应急物资储备、装备调用等方面的互通互联，组织开展政府及相关企业应急物资储备情况调查，明确应急物资的储备分工，完善调用、运输、补偿办法。</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（四）夯实多种形式消防队伍基础。</w:t>
      </w:r>
      <w:r>
        <w:rPr>
          <w:rFonts w:hint="eastAsia" w:ascii="仿宋" w:hAnsi="仿宋" w:eastAsia="仿宋"/>
          <w:sz w:val="32"/>
          <w:szCs w:val="32"/>
        </w:rPr>
        <w:t>出台《滁州市乡镇专职消防队建设规定》和《滁州市专职消防员管理办法》， 强化政府专职消防员和消防文员的编制保障，完善人员的配备标准</w:t>
      </w:r>
      <w:r>
        <w:rPr>
          <w:rFonts w:hint="eastAsia" w:ascii="仿宋" w:hAnsi="仿宋" w:eastAsia="仿宋"/>
          <w:sz w:val="32"/>
          <w:szCs w:val="32"/>
          <w:lang w:val="en-US"/>
        </w:rPr>
        <w:t>。</w:t>
      </w:r>
      <w:r>
        <w:rPr>
          <w:rFonts w:hint="eastAsia" w:ascii="仿宋" w:hAnsi="仿宋" w:eastAsia="仿宋"/>
          <w:sz w:val="32"/>
          <w:szCs w:val="32"/>
        </w:rPr>
        <w:t>202</w:t>
      </w:r>
      <w:r>
        <w:rPr>
          <w:rFonts w:hint="eastAsia" w:ascii="仿宋" w:hAnsi="仿宋" w:eastAsia="仿宋"/>
          <w:sz w:val="32"/>
          <w:szCs w:val="32"/>
          <w:lang w:val="en-US"/>
        </w:rPr>
        <w:t>3</w:t>
      </w:r>
      <w:r>
        <w:rPr>
          <w:rFonts w:hint="eastAsia" w:ascii="仿宋" w:hAnsi="仿宋" w:eastAsia="仿宋"/>
          <w:sz w:val="32"/>
          <w:szCs w:val="32"/>
        </w:rPr>
        <w:t>年完成全市所有建制镇</w:t>
      </w:r>
      <w:r>
        <w:rPr>
          <w:rFonts w:hint="eastAsia" w:ascii="仿宋" w:hAnsi="仿宋" w:eastAsia="仿宋"/>
          <w:sz w:val="32"/>
          <w:szCs w:val="32"/>
          <w:lang w:val="en-US"/>
        </w:rPr>
        <w:t>乡镇消防队达标建设和全部村志愿消防队伍</w:t>
      </w:r>
      <w:r>
        <w:rPr>
          <w:rFonts w:hint="eastAsia" w:ascii="仿宋" w:hAnsi="仿宋" w:eastAsia="仿宋"/>
          <w:sz w:val="32"/>
          <w:szCs w:val="32"/>
        </w:rPr>
        <w:t>建设</w:t>
      </w:r>
      <w:r>
        <w:rPr>
          <w:rFonts w:hint="eastAsia" w:ascii="仿宋" w:hAnsi="仿宋" w:eastAsia="仿宋"/>
          <w:sz w:val="32"/>
          <w:szCs w:val="32"/>
          <w:lang w:val="en-US"/>
        </w:rPr>
        <w:t>及人员车辆装备的配置。</w:t>
      </w:r>
      <w:r>
        <w:rPr>
          <w:rFonts w:hint="eastAsia" w:ascii="仿宋" w:hAnsi="仿宋" w:eastAsia="仿宋"/>
          <w:sz w:val="32"/>
          <w:szCs w:val="32"/>
        </w:rPr>
        <w:t>将全市乡镇消防队和企业专职消防队伍纳入119指挥调度体系，统一调度，发挥专职消防队伍情况清、到场快、处置及时的优势。推广“13</w:t>
      </w:r>
      <w:r>
        <w:rPr>
          <w:rFonts w:ascii="仿宋" w:hAnsi="仿宋" w:eastAsia="仿宋"/>
          <w:sz w:val="32"/>
          <w:szCs w:val="32"/>
        </w:rPr>
        <w:t>10</w:t>
      </w:r>
      <w:r>
        <w:rPr>
          <w:rFonts w:hint="eastAsia" w:ascii="仿宋" w:hAnsi="仿宋" w:eastAsia="仿宋"/>
          <w:sz w:val="32"/>
          <w:szCs w:val="32"/>
        </w:rPr>
        <w:t>”灭火救援</w:t>
      </w:r>
      <w:r>
        <w:rPr>
          <w:rFonts w:hint="eastAsia" w:ascii="仿宋" w:hAnsi="仿宋" w:eastAsia="仿宋"/>
          <w:sz w:val="32"/>
          <w:szCs w:val="32"/>
          <w:lang w:val="en-US"/>
        </w:rPr>
        <w:t>模式</w:t>
      </w:r>
      <w:r>
        <w:rPr>
          <w:rFonts w:hint="eastAsia" w:ascii="仿宋" w:hAnsi="仿宋" w:eastAsia="仿宋"/>
          <w:sz w:val="32"/>
          <w:szCs w:val="32"/>
          <w:vertAlign w:val="superscript"/>
        </w:rPr>
        <w:t>[</w:t>
      </w:r>
      <w:r>
        <w:rPr>
          <w:rFonts w:ascii="仿宋" w:hAnsi="仿宋" w:eastAsia="仿宋"/>
          <w:sz w:val="32"/>
          <w:szCs w:val="32"/>
          <w:vertAlign w:val="superscript"/>
        </w:rPr>
        <w:t>9]</w:t>
      </w:r>
      <w:r>
        <w:rPr>
          <w:rFonts w:hint="eastAsia" w:ascii="仿宋" w:hAnsi="仿宋" w:eastAsia="仿宋"/>
          <w:sz w:val="32"/>
          <w:szCs w:val="32"/>
        </w:rPr>
        <w:t>，做到微型消防站1分钟出动，志愿消防队3分钟到场，乡镇消防队</w:t>
      </w:r>
      <w:r>
        <w:rPr>
          <w:rFonts w:ascii="仿宋" w:hAnsi="仿宋" w:eastAsia="仿宋"/>
          <w:sz w:val="32"/>
          <w:szCs w:val="32"/>
        </w:rPr>
        <w:t>10</w:t>
      </w:r>
      <w:r>
        <w:rPr>
          <w:rFonts w:hint="eastAsia" w:ascii="仿宋" w:hAnsi="仿宋" w:eastAsia="仿宋"/>
          <w:sz w:val="32"/>
          <w:szCs w:val="32"/>
        </w:rPr>
        <w:t>分钟到场。强化适用于乡镇、农村地区消防车辆的配备。推进生产储存易燃易爆危险品的大型企业、重点文物保护单位、具有较大火灾危险性的大型</w:t>
      </w:r>
      <w:r>
        <w:rPr>
          <w:rFonts w:hint="eastAsia" w:ascii="仿宋" w:hAnsi="仿宋" w:eastAsia="仿宋"/>
          <w:sz w:val="32"/>
          <w:szCs w:val="32"/>
          <w:lang w:val="en-US"/>
        </w:rPr>
        <w:t>物流企业</w:t>
      </w:r>
      <w:r>
        <w:rPr>
          <w:rFonts w:hint="eastAsia" w:ascii="仿宋" w:hAnsi="仿宋" w:eastAsia="仿宋"/>
          <w:sz w:val="32"/>
          <w:szCs w:val="32"/>
        </w:rPr>
        <w:t>和其它有条件企事业单位的专职消防队建设。加强对政府专职消防队、企业专职消防队、志愿消防队、微型消防站的业务指导和培训，不断提高多种形式消防救援力量的战斗力。</w:t>
      </w:r>
    </w:p>
    <w:p>
      <w:pPr>
        <w:spacing w:before="260" w:after="260" w:line="580" w:lineRule="exact"/>
        <w:ind w:firstLine="643"/>
        <w:jc w:val="both"/>
        <w:outlineLvl w:val="1"/>
        <w:rPr>
          <w:rFonts w:ascii="黑体" w:hAnsi="黑体" w:eastAsia="黑体"/>
          <w:b/>
          <w:sz w:val="32"/>
          <w:szCs w:val="32"/>
          <w:lang w:val="en-US"/>
        </w:rPr>
      </w:pPr>
      <w:bookmarkStart w:id="42" w:name="_Toc57646744"/>
      <w:bookmarkStart w:id="43" w:name="_Toc54690464"/>
      <w:bookmarkStart w:id="44" w:name="_Toc89958964"/>
      <w:r>
        <w:rPr>
          <w:rFonts w:hint="eastAsia" w:ascii="黑体" w:hAnsi="黑体" w:eastAsia="黑体"/>
          <w:b/>
          <w:sz w:val="32"/>
          <w:szCs w:val="32"/>
          <w:lang w:val="en-US"/>
        </w:rPr>
        <w:t>三、</w:t>
      </w:r>
      <w:bookmarkEnd w:id="42"/>
      <w:bookmarkEnd w:id="43"/>
      <w:r>
        <w:rPr>
          <w:rFonts w:hint="eastAsia" w:ascii="黑体" w:hAnsi="黑体" w:eastAsia="黑体"/>
          <w:b/>
          <w:sz w:val="32"/>
          <w:szCs w:val="32"/>
          <w:lang w:val="en-US"/>
        </w:rPr>
        <w:t>深入推进消防工作改革</w:t>
      </w:r>
      <w:bookmarkEnd w:id="44"/>
    </w:p>
    <w:p>
      <w:pPr>
        <w:spacing w:line="580" w:lineRule="exact"/>
        <w:ind w:right="-50" w:rightChars="-18" w:firstLine="643"/>
        <w:jc w:val="both"/>
        <w:rPr>
          <w:rFonts w:ascii="仿宋" w:hAnsi="仿宋" w:eastAsia="仿宋"/>
          <w:sz w:val="32"/>
          <w:szCs w:val="32"/>
        </w:rPr>
      </w:pPr>
      <w:r>
        <w:rPr>
          <w:rFonts w:hint="eastAsia" w:ascii="楷体" w:hAnsi="楷体" w:eastAsia="楷体"/>
          <w:b/>
          <w:bCs/>
          <w:sz w:val="32"/>
          <w:szCs w:val="32"/>
        </w:rPr>
        <w:t>（一）加强消防地方立法。</w:t>
      </w:r>
      <w:r>
        <w:rPr>
          <w:rFonts w:hint="eastAsia" w:ascii="仿宋" w:hAnsi="仿宋" w:eastAsia="仿宋"/>
          <w:sz w:val="32"/>
          <w:szCs w:val="32"/>
        </w:rPr>
        <w:t>紧抓《滁州市消防安全责任制实施办法》推行的契机，完善消防工作政策体系，围绕消防工作重难点问题，加大重大火灾风险防控、公共消防设施建设管理、综合应急救援体系建设等方面</w:t>
      </w:r>
      <w:r>
        <w:rPr>
          <w:rFonts w:hint="eastAsia" w:ascii="仿宋" w:hAnsi="仿宋" w:eastAsia="仿宋"/>
          <w:sz w:val="32"/>
          <w:szCs w:val="32"/>
          <w:lang w:val="en-US"/>
        </w:rPr>
        <w:t>工作</w:t>
      </w:r>
      <w:r>
        <w:rPr>
          <w:rFonts w:hint="eastAsia" w:ascii="仿宋" w:hAnsi="仿宋" w:eastAsia="仿宋"/>
          <w:sz w:val="32"/>
          <w:szCs w:val="32"/>
        </w:rPr>
        <w:t>力度。推进《滁州市住宅物业消防安全管理办法》《滁州市消防水源管理办法》等地方性法规和政府规章的立法工作，完善消防安全管理法制体系。</w:t>
      </w:r>
    </w:p>
    <w:p>
      <w:pPr>
        <w:spacing w:line="580" w:lineRule="exact"/>
        <w:ind w:right="-50" w:rightChars="-18" w:firstLine="643"/>
        <w:jc w:val="both"/>
        <w:rPr>
          <w:rFonts w:ascii="仿宋" w:hAnsi="仿宋" w:eastAsia="仿宋"/>
          <w:sz w:val="32"/>
          <w:szCs w:val="32"/>
        </w:rPr>
      </w:pPr>
      <w:r>
        <w:rPr>
          <w:rFonts w:hint="eastAsia" w:ascii="楷体" w:hAnsi="楷体" w:eastAsia="楷体"/>
          <w:b/>
          <w:bCs/>
          <w:sz w:val="32"/>
          <w:szCs w:val="32"/>
        </w:rPr>
        <w:t>（二）不断提升消防服务效能。</w:t>
      </w:r>
      <w:r>
        <w:rPr>
          <w:rFonts w:hint="eastAsia" w:ascii="仿宋" w:hAnsi="仿宋" w:eastAsia="仿宋"/>
          <w:sz w:val="32"/>
          <w:szCs w:val="32"/>
        </w:rPr>
        <w:t>实行公众聚集场所投入使用、营业前消防安全检查告知承诺管理，推行电子印章在消防行政许可中的应用。推动消防网上</w:t>
      </w:r>
      <w:r>
        <w:rPr>
          <w:rFonts w:hint="eastAsia" w:ascii="仿宋" w:hAnsi="仿宋" w:eastAsia="仿宋"/>
          <w:sz w:val="32"/>
          <w:szCs w:val="32"/>
          <w:lang w:val="en-US"/>
        </w:rPr>
        <w:t>行政</w:t>
      </w:r>
      <w:r>
        <w:rPr>
          <w:rFonts w:hint="eastAsia" w:ascii="仿宋" w:hAnsi="仿宋" w:eastAsia="仿宋"/>
          <w:sz w:val="32"/>
          <w:szCs w:val="32"/>
        </w:rPr>
        <w:t>服务平台与滁州市投资项目在线审批监管平台、滁州市建设工程项目审批管理平台对接，实现申报资料一次提交，审批数据全网共享。推行监督检查“无事不扰”，综合运用“双随机、一公开”监管、远程监控、视频在线抽查等方式，按照企业风险等级，合理安排监督抽查计划。2021</w:t>
      </w:r>
      <w:r>
        <w:rPr>
          <w:rFonts w:hint="eastAsia" w:ascii="仿宋" w:hAnsi="仿宋" w:eastAsia="仿宋"/>
          <w:sz w:val="32"/>
          <w:szCs w:val="32"/>
          <w:lang w:val="en-US"/>
        </w:rPr>
        <w:t>-2023</w:t>
      </w:r>
      <w:r>
        <w:rPr>
          <w:rFonts w:hint="eastAsia" w:ascii="仿宋" w:hAnsi="仿宋" w:eastAsia="仿宋"/>
          <w:sz w:val="32"/>
          <w:szCs w:val="32"/>
        </w:rPr>
        <w:t>年</w:t>
      </w:r>
      <w:r>
        <w:rPr>
          <w:rFonts w:hint="eastAsia" w:ascii="仿宋" w:hAnsi="仿宋" w:eastAsia="仿宋"/>
          <w:sz w:val="32"/>
          <w:szCs w:val="32"/>
          <w:lang w:val="en-US"/>
        </w:rPr>
        <w:t>陆续完成</w:t>
      </w:r>
      <w:r>
        <w:rPr>
          <w:rFonts w:hint="eastAsia" w:ascii="仿宋" w:hAnsi="仿宋" w:eastAsia="仿宋"/>
          <w:sz w:val="32"/>
          <w:szCs w:val="32"/>
        </w:rPr>
        <w:t>消防执法服务“码上回访”</w:t>
      </w:r>
      <w:r>
        <w:rPr>
          <w:rFonts w:hint="eastAsia" w:ascii="仿宋" w:hAnsi="仿宋" w:eastAsia="仿宋"/>
          <w:sz w:val="32"/>
          <w:szCs w:val="32"/>
          <w:vertAlign w:val="superscript"/>
        </w:rPr>
        <w:t>[</w:t>
      </w:r>
      <w:r>
        <w:rPr>
          <w:rFonts w:ascii="仿宋" w:hAnsi="仿宋" w:eastAsia="仿宋"/>
          <w:sz w:val="32"/>
          <w:szCs w:val="32"/>
          <w:vertAlign w:val="superscript"/>
        </w:rPr>
        <w:t>10]</w:t>
      </w:r>
      <w:r>
        <w:rPr>
          <w:rFonts w:hint="eastAsia" w:ascii="仿宋" w:hAnsi="仿宋" w:eastAsia="仿宋"/>
          <w:sz w:val="32"/>
          <w:szCs w:val="32"/>
          <w:lang w:val="en-US"/>
        </w:rPr>
        <w:t>群众评价</w:t>
      </w:r>
      <w:r>
        <w:rPr>
          <w:rFonts w:hint="eastAsia" w:ascii="仿宋" w:hAnsi="仿宋" w:eastAsia="仿宋"/>
          <w:sz w:val="32"/>
          <w:szCs w:val="32"/>
        </w:rPr>
        <w:t>系统、</w:t>
      </w:r>
      <w:r>
        <w:rPr>
          <w:rFonts w:hint="eastAsia" w:ascii="仿宋" w:hAnsi="仿宋" w:eastAsia="仿宋"/>
          <w:sz w:val="32"/>
          <w:szCs w:val="32"/>
          <w:lang w:val="en-US"/>
        </w:rPr>
        <w:t>面对各类企业的</w:t>
      </w:r>
      <w:r>
        <w:rPr>
          <w:rFonts w:hint="eastAsia" w:ascii="仿宋" w:hAnsi="仿宋" w:eastAsia="仿宋"/>
          <w:sz w:val="32"/>
          <w:szCs w:val="32"/>
        </w:rPr>
        <w:t>消防安全</w:t>
      </w:r>
      <w:r>
        <w:rPr>
          <w:rFonts w:hint="eastAsia" w:ascii="仿宋" w:hAnsi="仿宋" w:eastAsia="仿宋"/>
          <w:sz w:val="32"/>
          <w:szCs w:val="32"/>
          <w:lang w:val="en-US"/>
        </w:rPr>
        <w:t>在线</w:t>
      </w:r>
      <w:r>
        <w:rPr>
          <w:rFonts w:hint="eastAsia" w:ascii="仿宋" w:hAnsi="仿宋" w:eastAsia="仿宋"/>
          <w:sz w:val="32"/>
          <w:szCs w:val="32"/>
        </w:rPr>
        <w:t>教育培训</w:t>
      </w:r>
      <w:r>
        <w:rPr>
          <w:rFonts w:hint="eastAsia" w:ascii="仿宋" w:hAnsi="仿宋" w:eastAsia="仿宋"/>
          <w:sz w:val="32"/>
          <w:szCs w:val="32"/>
          <w:lang w:val="en-US"/>
        </w:rPr>
        <w:t>系统、</w:t>
      </w:r>
      <w:r>
        <w:rPr>
          <w:rFonts w:hint="eastAsia" w:ascii="仿宋" w:hAnsi="仿宋" w:eastAsia="仿宋"/>
          <w:sz w:val="32"/>
          <w:szCs w:val="32"/>
        </w:rPr>
        <w:t>全市消防便民服务系统、</w:t>
      </w:r>
      <w:r>
        <w:rPr>
          <w:rFonts w:hint="eastAsia" w:ascii="仿宋" w:hAnsi="仿宋" w:eastAsia="仿宋"/>
          <w:sz w:val="32"/>
          <w:szCs w:val="32"/>
          <w:lang w:val="en-US"/>
        </w:rPr>
        <w:t>民生与重点项目消防安全全过程解决方案系统的</w:t>
      </w:r>
      <w:r>
        <w:rPr>
          <w:rFonts w:hint="eastAsia" w:ascii="仿宋" w:hAnsi="仿宋" w:eastAsia="仿宋"/>
          <w:sz w:val="32"/>
          <w:szCs w:val="32"/>
        </w:rPr>
        <w:t>上线。将“96119”归并到滁州“12345”热线，提供“7X24小时”全天候人工服务。</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（三）创新消防监督管理模式。</w:t>
      </w:r>
      <w:r>
        <w:rPr>
          <w:rFonts w:hint="eastAsia" w:ascii="仿宋" w:hAnsi="仿宋" w:eastAsia="仿宋"/>
          <w:sz w:val="32"/>
          <w:szCs w:val="32"/>
        </w:rPr>
        <w:t>推行“智慧监管”新模式，使</w:t>
      </w:r>
      <w:r>
        <w:rPr>
          <w:rFonts w:ascii="仿宋" w:hAnsi="仿宋" w:eastAsia="仿宋"/>
          <w:sz w:val="32"/>
          <w:szCs w:val="32"/>
        </w:rPr>
        <w:t>消防监督管理工作人员</w:t>
      </w:r>
      <w:r>
        <w:rPr>
          <w:rFonts w:hint="eastAsia" w:ascii="仿宋" w:hAnsi="仿宋" w:eastAsia="仿宋"/>
          <w:sz w:val="32"/>
          <w:szCs w:val="32"/>
        </w:rPr>
        <w:t>能</w:t>
      </w:r>
      <w:r>
        <w:rPr>
          <w:rFonts w:ascii="仿宋" w:hAnsi="仿宋" w:eastAsia="仿宋"/>
          <w:sz w:val="32"/>
          <w:szCs w:val="32"/>
        </w:rPr>
        <w:t>充分利用现代信息技术</w:t>
      </w:r>
      <w:r>
        <w:rPr>
          <w:rFonts w:hint="eastAsia" w:ascii="仿宋" w:hAnsi="仿宋" w:eastAsia="仿宋"/>
          <w:sz w:val="32"/>
          <w:szCs w:val="32"/>
        </w:rPr>
        <w:t>推动监管工作的开展，通过“智慧监管”和</w:t>
      </w:r>
      <w:r>
        <w:rPr>
          <w:rFonts w:ascii="仿宋" w:hAnsi="仿宋" w:eastAsia="仿宋"/>
          <w:sz w:val="32"/>
          <w:szCs w:val="32"/>
        </w:rPr>
        <w:t>消防设施远程化</w:t>
      </w:r>
      <w:r>
        <w:rPr>
          <w:rFonts w:hint="eastAsia" w:ascii="仿宋" w:hAnsi="仿宋" w:eastAsia="仿宋"/>
          <w:sz w:val="32"/>
          <w:szCs w:val="32"/>
        </w:rPr>
        <w:t>系统</w:t>
      </w:r>
      <w:r>
        <w:rPr>
          <w:rFonts w:ascii="仿宋" w:hAnsi="仿宋" w:eastAsia="仿宋"/>
          <w:sz w:val="32"/>
          <w:szCs w:val="32"/>
        </w:rPr>
        <w:t>对各单位消防管理进行实时监控，做到智慧感知、识别、预警和处置，达到化被动为主动防御的目的</w:t>
      </w:r>
      <w:r>
        <w:rPr>
          <w:rFonts w:hint="eastAsia" w:ascii="仿宋" w:hAnsi="仿宋" w:eastAsia="仿宋"/>
          <w:sz w:val="32"/>
          <w:szCs w:val="32"/>
        </w:rPr>
        <w:t>。推广“互联网+”监管，利用移动互联网提高部门、属地、网格的监管能力和效率，对现有的消防监管系统进行升级改造，</w:t>
      </w:r>
      <w:r>
        <w:rPr>
          <w:rFonts w:ascii="仿宋" w:hAnsi="仿宋" w:eastAsia="仿宋"/>
          <w:sz w:val="32"/>
          <w:szCs w:val="32"/>
        </w:rPr>
        <w:t>建设</w:t>
      </w:r>
      <w:r>
        <w:rPr>
          <w:rFonts w:hint="eastAsia" w:ascii="仿宋" w:hAnsi="仿宋" w:eastAsia="仿宋"/>
          <w:sz w:val="32"/>
          <w:szCs w:val="32"/>
        </w:rPr>
        <w:t>市级消防</w:t>
      </w:r>
      <w:r>
        <w:rPr>
          <w:rFonts w:ascii="仿宋" w:hAnsi="仿宋" w:eastAsia="仿宋"/>
          <w:sz w:val="32"/>
          <w:szCs w:val="32"/>
        </w:rPr>
        <w:t>执法办案</w:t>
      </w:r>
      <w:r>
        <w:rPr>
          <w:rFonts w:hint="eastAsia" w:ascii="仿宋" w:hAnsi="仿宋" w:eastAsia="仿宋"/>
          <w:sz w:val="32"/>
          <w:szCs w:val="32"/>
        </w:rPr>
        <w:t>平台</w:t>
      </w:r>
      <w:r>
        <w:rPr>
          <w:rFonts w:ascii="仿宋" w:hAnsi="仿宋" w:eastAsia="仿宋"/>
          <w:sz w:val="32"/>
          <w:szCs w:val="32"/>
        </w:rPr>
        <w:t>，实时上传监督情况，提升基层消防监督管理部门的信息化水平。</w:t>
      </w:r>
      <w:r>
        <w:rPr>
          <w:rFonts w:hint="eastAsia" w:ascii="仿宋" w:hAnsi="仿宋" w:eastAsia="仿宋"/>
          <w:sz w:val="32"/>
          <w:szCs w:val="32"/>
        </w:rPr>
        <w:t>加强消防安全信用体系建设，实施“信用监管”，相关行业部门将消防安全领域一般失信行为作为信用评价、项目核准、用地审批、金融扶持、财政奖补等方面的参考依据，重点加强对严重失信黑名单违法主体的联合惩戒、市场准入和行业准入。</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（四）引导社会力量参与消防工作。</w:t>
      </w:r>
      <w:r>
        <w:rPr>
          <w:rFonts w:hint="eastAsia" w:ascii="仿宋" w:hAnsi="仿宋" w:eastAsia="仿宋"/>
          <w:sz w:val="32"/>
          <w:szCs w:val="32"/>
        </w:rPr>
        <w:t>鼓励和引导消防技术服务机构承担部分公共消防安全服务职能，积极参与消防安全检测、消防设施维保、重大火灾风险和隐患评估论证、消防安全培训、消防安全技术咨询等工作。依托智慧平台，通过政府购买服务和市场化运行等多元方式，集中支持和培育具有典型示范效应的本地化消防技术服务机构。引导和支持具有消防安全技术的高等学校、科研院所、行业协会开展消防安全社会化服务工作，支持滁州学院应急管理学院建设。探索建立火灾高危单位、重大火灾保险和消防安全水平挂钩机制，发挥保险、金融的市场调节作用。鼓励支持各类志愿者服务组织和队伍参与消防活动，引导培育消防志愿队伍专业化成长。</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（五）加强火灾事故倒查追责。</w:t>
      </w:r>
      <w:r>
        <w:rPr>
          <w:rFonts w:hint="eastAsia" w:ascii="仿宋" w:hAnsi="仿宋" w:eastAsia="仿宋"/>
          <w:sz w:val="32"/>
          <w:szCs w:val="32"/>
        </w:rPr>
        <w:t>制定出台《滁州市火灾事故调查处理规定》，建立健全滁州市火灾事故调查追责延伸机制，对涉及事故的</w:t>
      </w:r>
      <w:r>
        <w:rPr>
          <w:rFonts w:ascii="仿宋" w:hAnsi="仿宋" w:eastAsia="仿宋"/>
          <w:sz w:val="32"/>
          <w:szCs w:val="32"/>
        </w:rPr>
        <w:t>工程建设、中介服务、消防</w:t>
      </w:r>
      <w:r>
        <w:rPr>
          <w:rFonts w:hint="eastAsia" w:ascii="仿宋" w:hAnsi="仿宋" w:eastAsia="仿宋"/>
          <w:sz w:val="32"/>
          <w:szCs w:val="32"/>
          <w:lang w:val="en-US"/>
        </w:rPr>
        <w:t>设施</w:t>
      </w:r>
      <w:r>
        <w:rPr>
          <w:rFonts w:ascii="仿宋" w:hAnsi="仿宋" w:eastAsia="仿宋"/>
          <w:sz w:val="32"/>
          <w:szCs w:val="32"/>
        </w:rPr>
        <w:t>、使用管理</w:t>
      </w:r>
      <w:r>
        <w:rPr>
          <w:rFonts w:hint="eastAsia" w:ascii="仿宋" w:hAnsi="仿宋" w:eastAsia="仿宋"/>
          <w:sz w:val="32"/>
          <w:szCs w:val="32"/>
        </w:rPr>
        <w:t>、</w:t>
      </w:r>
      <w:r>
        <w:rPr>
          <w:rFonts w:ascii="仿宋" w:hAnsi="仿宋" w:eastAsia="仿宋"/>
          <w:sz w:val="32"/>
          <w:szCs w:val="32"/>
        </w:rPr>
        <w:t>部门监管等依法依规严肃追</w:t>
      </w:r>
      <w:r>
        <w:rPr>
          <w:rFonts w:hint="eastAsia" w:ascii="仿宋" w:hAnsi="仿宋" w:eastAsia="仿宋"/>
          <w:sz w:val="32"/>
          <w:szCs w:val="32"/>
        </w:rPr>
        <w:t>责。深入推进较大及以上火灾事故“一案三查”，查实有关行业、部门及基层组织等安全监管职责落实情况，严肃追究责任。完善联合惩戒机制，依法对</w:t>
      </w:r>
      <w:r>
        <w:rPr>
          <w:rFonts w:hint="eastAsia" w:ascii="仿宋" w:hAnsi="仿宋" w:eastAsia="仿宋"/>
          <w:sz w:val="32"/>
          <w:szCs w:val="32"/>
          <w:lang w:val="en-US"/>
        </w:rPr>
        <w:t>因</w:t>
      </w:r>
      <w:r>
        <w:rPr>
          <w:rFonts w:hint="eastAsia" w:ascii="仿宋" w:hAnsi="仿宋" w:eastAsia="仿宋"/>
          <w:sz w:val="32"/>
          <w:szCs w:val="32"/>
        </w:rPr>
        <w:t>消防安全主体责任不落实</w:t>
      </w:r>
      <w:r>
        <w:rPr>
          <w:rFonts w:hint="eastAsia" w:ascii="仿宋" w:hAnsi="仿宋" w:eastAsia="仿宋"/>
          <w:sz w:val="32"/>
          <w:szCs w:val="32"/>
          <w:lang w:val="en-US"/>
        </w:rPr>
        <w:t>造成较大以上事故或重大影响</w:t>
      </w:r>
      <w:r>
        <w:rPr>
          <w:rFonts w:hint="eastAsia" w:ascii="仿宋" w:hAnsi="仿宋" w:eastAsia="仿宋"/>
          <w:sz w:val="32"/>
          <w:szCs w:val="32"/>
        </w:rPr>
        <w:t>的单位给予停业整顿、吊销资质证书和营业执照处理，对负有责任的法定代表人、主要责任人、直接责任人或实际控制人实施暂停执业、吊销资格证书、一定时间内甚至终身行业禁入等处罚，对严重违法失信的依法纳入信用“黑名单”管理，对涉嫌失火、消防责任事故等犯罪的</w:t>
      </w:r>
      <w:r>
        <w:rPr>
          <w:rFonts w:hint="eastAsia" w:ascii="仿宋" w:hAnsi="仿宋" w:eastAsia="仿宋"/>
          <w:sz w:val="32"/>
          <w:szCs w:val="32"/>
          <w:lang w:val="en-US"/>
        </w:rPr>
        <w:t>依法</w:t>
      </w:r>
      <w:r>
        <w:rPr>
          <w:rFonts w:hint="eastAsia" w:ascii="仿宋" w:hAnsi="仿宋" w:eastAsia="仿宋"/>
          <w:sz w:val="32"/>
          <w:szCs w:val="32"/>
        </w:rPr>
        <w:t>追究刑事责任。建立较大及以上火灾事故调查处理信息通报和整改措施落实情况评估制度，向社会公开调查处理和评估情况，强化警示教育。</w:t>
      </w: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3"/>
        <w:keepNext w:val="0"/>
        <w:keepLines w:val="0"/>
        <w:widowControl/>
        <w:spacing w:before="0" w:beforeAutospacing="0" w:after="0" w:afterAutospacing="0" w:line="560" w:lineRule="exact"/>
        <w:jc w:val="center"/>
        <w:rPr>
          <w:rFonts w:ascii="Times New Roman" w:hAnsi="Times New Roman" w:eastAsia="方正小标宋简体"/>
          <w:b w:val="0"/>
          <w:spacing w:val="-11"/>
          <w:kern w:val="36"/>
          <w:szCs w:val="48"/>
        </w:rPr>
      </w:pPr>
      <w:bookmarkStart w:id="45" w:name="_Toc57646763"/>
      <w:bookmarkStart w:id="46" w:name="_Toc54690465"/>
      <w:bookmarkStart w:id="47" w:name="_Toc89958965"/>
      <w:r>
        <w:rPr>
          <w:rFonts w:hint="eastAsia" w:ascii="Times New Roman" w:hAnsi="Times New Roman" w:eastAsia="方正小标宋简体"/>
          <w:b w:val="0"/>
          <w:spacing w:val="-11"/>
          <w:kern w:val="36"/>
          <w:szCs w:val="48"/>
        </w:rPr>
        <w:t>第四章  重点项目</w:t>
      </w:r>
      <w:bookmarkEnd w:id="45"/>
      <w:bookmarkEnd w:id="46"/>
      <w:r>
        <w:rPr>
          <w:rFonts w:hint="eastAsia" w:ascii="Times New Roman" w:hAnsi="Times New Roman" w:eastAsia="方正小标宋简体"/>
          <w:b w:val="0"/>
          <w:spacing w:val="-11"/>
          <w:kern w:val="36"/>
          <w:szCs w:val="48"/>
        </w:rPr>
        <w:t>建设</w:t>
      </w:r>
      <w:bookmarkEnd w:id="47"/>
    </w:p>
    <w:p>
      <w:pPr>
        <w:spacing w:before="260" w:after="260" w:line="580" w:lineRule="exact"/>
        <w:ind w:firstLine="643"/>
        <w:jc w:val="both"/>
        <w:outlineLvl w:val="1"/>
        <w:rPr>
          <w:rFonts w:ascii="黑体" w:hAnsi="黑体" w:eastAsia="黑体" w:cs="黑体"/>
          <w:b/>
          <w:sz w:val="32"/>
          <w:szCs w:val="32"/>
          <w:lang w:val="en-US"/>
        </w:rPr>
      </w:pPr>
      <w:bookmarkStart w:id="48" w:name="_Toc89958966"/>
      <w:bookmarkStart w:id="49" w:name="_Toc57646764"/>
      <w:r>
        <w:rPr>
          <w:rFonts w:hint="eastAsia" w:ascii="黑体" w:hAnsi="黑体" w:eastAsia="黑体" w:cs="黑体"/>
          <w:b/>
          <w:sz w:val="32"/>
          <w:szCs w:val="32"/>
          <w:lang w:val="en-US"/>
        </w:rPr>
        <w:t>一、强化公共消防设施建设</w:t>
      </w:r>
      <w:bookmarkEnd w:id="48"/>
      <w:bookmarkEnd w:id="49"/>
    </w:p>
    <w:p>
      <w:pPr>
        <w:spacing w:line="580" w:lineRule="exact"/>
        <w:ind w:firstLine="643"/>
        <w:jc w:val="both"/>
        <w:rPr>
          <w:rFonts w:ascii="仿宋" w:hAnsi="仿宋" w:eastAsia="仿宋"/>
          <w:sz w:val="32"/>
          <w:szCs w:val="32"/>
        </w:rPr>
      </w:pPr>
      <w:r>
        <w:rPr>
          <w:rFonts w:hint="eastAsia" w:ascii="楷体" w:hAnsi="楷体" w:eastAsia="楷体"/>
          <w:b/>
          <w:bCs/>
          <w:sz w:val="32"/>
          <w:szCs w:val="32"/>
        </w:rPr>
        <w:t>（一）完成城乡消防规划编制。</w:t>
      </w:r>
      <w:r>
        <w:rPr>
          <w:rFonts w:hint="eastAsia" w:ascii="仿宋" w:hAnsi="仿宋" w:eastAsia="仿宋"/>
          <w:sz w:val="32"/>
          <w:szCs w:val="32"/>
        </w:rPr>
        <w:t>2021年市区、县（市）城、全国重点镇和园区完成消防专项规划的制（修）订工作，2022年全部建制镇完成消防专项规划的制（修）订工作。</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（二）加快消防救援站建设。</w:t>
      </w:r>
      <w:r>
        <w:rPr>
          <w:rFonts w:hint="eastAsia" w:ascii="仿宋" w:hAnsi="仿宋" w:eastAsia="仿宋"/>
          <w:sz w:val="32"/>
          <w:szCs w:val="32"/>
        </w:rPr>
        <w:t>“十四五”时期，滁州市主城区规划新建消防救援站9座和执勤点2处。2021年完成“十三五”时期规划的明湖大道特勤消防站、琅琊新区消防站建设任务；2022年完成经开区常州路特勤消防站、高教科创城消防站、醉翁路消防站建设任务；2023年完成琅琊消防站（森林）、南谯消防站（森林）、明湖消防站建设任务；2024年完成</w:t>
      </w:r>
      <w:r>
        <w:rPr>
          <w:rFonts w:hint="eastAsia" w:ascii="仿宋" w:hAnsi="仿宋" w:eastAsia="仿宋"/>
          <w:color w:val="000000" w:themeColor="text1"/>
          <w:sz w:val="32"/>
          <w:szCs w:val="32"/>
          <w14:textFill>
            <w14:solidFill>
              <w14:schemeClr w14:val="tx1"/>
            </w14:solidFill>
          </w14:textFill>
        </w:rPr>
        <w:t>大桥消防站</w:t>
      </w:r>
      <w:r>
        <w:rPr>
          <w:rFonts w:hint="eastAsia" w:ascii="仿宋" w:hAnsi="仿宋" w:eastAsia="仿宋"/>
          <w:sz w:val="32"/>
          <w:szCs w:val="32"/>
        </w:rPr>
        <w:t>建设任务；</w:t>
      </w:r>
      <w:r>
        <w:rPr>
          <w:rFonts w:ascii="仿宋" w:hAnsi="仿宋" w:eastAsia="仿宋"/>
          <w:sz w:val="32"/>
          <w:szCs w:val="32"/>
        </w:rPr>
        <w:t>2025年完成浦口—南谯功能区消防站建设任务；结合滁</w:t>
      </w:r>
      <w:r>
        <w:rPr>
          <w:rFonts w:hint="eastAsia" w:ascii="仿宋" w:hAnsi="仿宋" w:eastAsia="仿宋"/>
          <w:sz w:val="32"/>
          <w:szCs w:val="32"/>
        </w:rPr>
        <w:t>州市“城市更新行动”推进完成老城区</w:t>
      </w:r>
      <w:r>
        <w:rPr>
          <w:rFonts w:ascii="仿宋" w:hAnsi="仿宋" w:eastAsia="仿宋"/>
          <w:sz w:val="32"/>
          <w:szCs w:val="32"/>
        </w:rPr>
        <w:t>2处执勤点的建设。</w:t>
      </w:r>
      <w:r>
        <w:rPr>
          <w:rFonts w:hint="eastAsia" w:ascii="仿宋" w:hAnsi="仿宋" w:eastAsia="仿宋"/>
          <w:sz w:val="32"/>
          <w:szCs w:val="32"/>
          <w:lang w:val="en-US"/>
        </w:rPr>
        <w:t>各</w:t>
      </w:r>
      <w:r>
        <w:rPr>
          <w:rFonts w:hint="eastAsia" w:ascii="仿宋" w:hAnsi="仿宋" w:eastAsia="仿宋"/>
          <w:sz w:val="32"/>
          <w:szCs w:val="32"/>
        </w:rPr>
        <w:t>县（市）</w:t>
      </w:r>
      <w:r>
        <w:rPr>
          <w:rFonts w:hint="eastAsia" w:ascii="仿宋" w:hAnsi="仿宋" w:eastAsia="仿宋"/>
          <w:sz w:val="32"/>
          <w:szCs w:val="32"/>
          <w:lang w:val="en-US"/>
        </w:rPr>
        <w:t>按照国家相关规定，立足经济社会发展水平，相应</w:t>
      </w:r>
      <w:r>
        <w:rPr>
          <w:rFonts w:hint="eastAsia" w:ascii="仿宋" w:hAnsi="仿宋" w:eastAsia="仿宋"/>
          <w:sz w:val="32"/>
          <w:szCs w:val="32"/>
        </w:rPr>
        <w:t>规划增</w:t>
      </w:r>
      <w:r>
        <w:rPr>
          <w:rFonts w:hint="eastAsia" w:ascii="仿宋" w:hAnsi="仿宋" w:eastAsia="仿宋"/>
          <w:sz w:val="32"/>
          <w:szCs w:val="32"/>
          <w:lang w:val="en-US"/>
        </w:rPr>
        <w:t>设</w:t>
      </w:r>
      <w:r>
        <w:rPr>
          <w:rFonts w:hint="eastAsia" w:ascii="仿宋" w:hAnsi="仿宋" w:eastAsia="仿宋"/>
          <w:sz w:val="32"/>
          <w:szCs w:val="32"/>
        </w:rPr>
        <w:t>消防救援站，</w:t>
      </w:r>
      <w:r>
        <w:rPr>
          <w:rFonts w:hint="eastAsia" w:ascii="仿宋" w:hAnsi="仿宋" w:eastAsia="仿宋"/>
          <w:sz w:val="32"/>
          <w:szCs w:val="32"/>
          <w:lang w:val="en-US"/>
        </w:rPr>
        <w:t>同时</w:t>
      </w:r>
      <w:r>
        <w:rPr>
          <w:rFonts w:hint="eastAsia" w:ascii="仿宋" w:hAnsi="仿宋" w:eastAsia="仿宋"/>
          <w:sz w:val="32"/>
          <w:szCs w:val="32"/>
        </w:rPr>
        <w:t>至少</w:t>
      </w:r>
      <w:r>
        <w:rPr>
          <w:rFonts w:hint="eastAsia" w:ascii="仿宋" w:hAnsi="仿宋" w:eastAsia="仿宋"/>
          <w:sz w:val="32"/>
          <w:szCs w:val="32"/>
          <w:lang w:val="en-US"/>
        </w:rPr>
        <w:t>要有</w:t>
      </w:r>
      <w:r>
        <w:rPr>
          <w:rFonts w:hint="eastAsia" w:ascii="仿宋" w:hAnsi="仿宋" w:eastAsia="仿宋"/>
          <w:sz w:val="32"/>
          <w:szCs w:val="32"/>
        </w:rPr>
        <w:t>一座特勤消防站；</w:t>
      </w:r>
      <w:r>
        <w:rPr>
          <w:rFonts w:ascii="仿宋" w:hAnsi="仿宋" w:eastAsia="仿宋"/>
          <w:sz w:val="32"/>
          <w:szCs w:val="32"/>
        </w:rPr>
        <w:t>2022</w:t>
      </w:r>
      <w:r>
        <w:rPr>
          <w:rFonts w:hint="eastAsia" w:ascii="仿宋" w:hAnsi="仿宋" w:eastAsia="仿宋"/>
          <w:sz w:val="32"/>
          <w:szCs w:val="32"/>
        </w:rPr>
        <w:t>年完成明光化工园区消防站二期建设</w:t>
      </w:r>
      <w:r>
        <w:rPr>
          <w:rFonts w:hint="eastAsia" w:ascii="仿宋" w:hAnsi="仿宋" w:eastAsia="仿宋"/>
          <w:sz w:val="32"/>
          <w:szCs w:val="32"/>
          <w:lang w:val="en-US"/>
        </w:rPr>
        <w:t>，升级全椒化工园区消防站建设任务</w:t>
      </w:r>
      <w:r>
        <w:rPr>
          <w:rFonts w:hint="eastAsia" w:ascii="仿宋" w:hAnsi="仿宋" w:eastAsia="仿宋"/>
          <w:sz w:val="32"/>
          <w:szCs w:val="32"/>
        </w:rPr>
        <w:t>；202</w:t>
      </w:r>
      <w:r>
        <w:rPr>
          <w:rFonts w:ascii="仿宋" w:hAnsi="仿宋" w:eastAsia="仿宋"/>
          <w:sz w:val="32"/>
          <w:szCs w:val="32"/>
        </w:rPr>
        <w:t>3</w:t>
      </w:r>
      <w:r>
        <w:rPr>
          <w:rFonts w:hint="eastAsia" w:ascii="仿宋" w:hAnsi="仿宋" w:eastAsia="仿宋"/>
          <w:sz w:val="32"/>
          <w:szCs w:val="32"/>
        </w:rPr>
        <w:t>年完成天长、来安化工园区消防站建设。2021</w:t>
      </w:r>
      <w:r>
        <w:rPr>
          <w:rFonts w:hint="eastAsia" w:ascii="仿宋" w:hAnsi="仿宋" w:eastAsia="仿宋"/>
          <w:sz w:val="32"/>
          <w:szCs w:val="32"/>
          <w:lang w:val="en-US"/>
        </w:rPr>
        <w:t>-</w:t>
      </w:r>
      <w:r>
        <w:rPr>
          <w:rFonts w:hint="eastAsia" w:ascii="仿宋" w:hAnsi="仿宋" w:eastAsia="仿宋"/>
          <w:sz w:val="32"/>
          <w:szCs w:val="32"/>
        </w:rPr>
        <w:t>202</w:t>
      </w:r>
      <w:r>
        <w:rPr>
          <w:rFonts w:ascii="仿宋" w:hAnsi="仿宋" w:eastAsia="仿宋"/>
          <w:sz w:val="32"/>
          <w:szCs w:val="32"/>
          <w:lang w:val="en-US"/>
        </w:rPr>
        <w:t>3</w:t>
      </w:r>
      <w:r>
        <w:rPr>
          <w:rFonts w:hint="eastAsia" w:ascii="仿宋" w:hAnsi="仿宋" w:eastAsia="仿宋"/>
          <w:sz w:val="32"/>
          <w:szCs w:val="32"/>
        </w:rPr>
        <w:t>年，完成全市乡镇消防站达标和建设任务。按照“急用先行、效益优先”的思路，采取协作共享方式推进航空消防救援站</w:t>
      </w:r>
      <w:r>
        <w:rPr>
          <w:rFonts w:hint="eastAsia" w:ascii="仿宋" w:hAnsi="仿宋" w:eastAsia="仿宋"/>
          <w:sz w:val="32"/>
          <w:szCs w:val="32"/>
          <w:lang w:val="en-US"/>
        </w:rPr>
        <w:t>或</w:t>
      </w:r>
      <w:r>
        <w:rPr>
          <w:rFonts w:hint="eastAsia" w:ascii="仿宋" w:hAnsi="仿宋" w:eastAsia="仿宋"/>
          <w:sz w:val="32"/>
          <w:szCs w:val="32"/>
        </w:rPr>
        <w:t>临时起降点建设。</w:t>
      </w:r>
    </w:p>
    <w:p>
      <w:pPr>
        <w:pStyle w:val="2"/>
        <w:ind w:left="560" w:firstLine="560"/>
      </w:pPr>
    </w:p>
    <w:p>
      <w:pPr>
        <w:spacing w:line="580" w:lineRule="exact"/>
        <w:ind w:firstLine="643"/>
        <w:jc w:val="both"/>
        <w:rPr>
          <w:rFonts w:ascii="仿宋" w:hAnsi="仿宋" w:eastAsia="仿宋"/>
          <w:sz w:val="32"/>
          <w:szCs w:val="32"/>
        </w:rPr>
      </w:pPr>
      <w:r>
        <w:rPr>
          <w:rFonts w:hint="eastAsia" w:ascii="楷体" w:hAnsi="楷体" w:eastAsia="楷体"/>
          <w:b/>
          <w:bCs/>
          <w:sz w:val="32"/>
          <w:szCs w:val="32"/>
        </w:rPr>
        <w:t>（三）强化消防救援保障设施建设。</w:t>
      </w:r>
      <w:r>
        <w:rPr>
          <w:rFonts w:hint="eastAsia" w:ascii="仿宋" w:hAnsi="仿宋" w:eastAsia="仿宋"/>
          <w:sz w:val="32"/>
          <w:szCs w:val="32"/>
          <w:lang w:val="en-US"/>
        </w:rPr>
        <w:t>2022年</w:t>
      </w:r>
      <w:r>
        <w:rPr>
          <w:rFonts w:hint="eastAsia" w:ascii="仿宋" w:hAnsi="仿宋" w:eastAsia="仿宋"/>
          <w:sz w:val="32"/>
          <w:szCs w:val="32"/>
        </w:rPr>
        <w:t>完成明湖大道新训练基地建设任务，</w:t>
      </w:r>
      <w:r>
        <w:rPr>
          <w:rFonts w:hint="eastAsia" w:ascii="仿宋" w:hAnsi="仿宋" w:eastAsia="仿宋"/>
          <w:sz w:val="32"/>
          <w:szCs w:val="32"/>
          <w:lang w:val="en-US"/>
        </w:rPr>
        <w:t>配置</w:t>
      </w:r>
      <w:r>
        <w:rPr>
          <w:rFonts w:hint="eastAsia" w:ascii="仿宋" w:hAnsi="仿宋" w:eastAsia="仿宋"/>
          <w:sz w:val="32"/>
          <w:szCs w:val="32"/>
        </w:rPr>
        <w:t>危险化学品泄漏、公路交通事故处置、电气火灾事故处置、地震救援处置等模拟训练设施，强化消防专业训练，分层次、分岗位开展专业化、模拟化、实战化训练。2023年依托滁州市水上运动中心，完成水域训练基地建设任务。2023年完成文忠路战勤保障站建设，</w:t>
      </w:r>
      <w:r>
        <w:rPr>
          <w:rFonts w:hint="eastAsia" w:ascii="仿宋" w:hAnsi="仿宋" w:eastAsia="仿宋"/>
          <w:sz w:val="32"/>
          <w:szCs w:val="32"/>
          <w:lang w:val="en-US"/>
        </w:rPr>
        <w:t>满足</w:t>
      </w:r>
      <w:r>
        <w:rPr>
          <w:rFonts w:hint="eastAsia" w:ascii="仿宋" w:hAnsi="仿宋" w:eastAsia="仿宋"/>
          <w:sz w:val="32"/>
          <w:szCs w:val="32"/>
        </w:rPr>
        <w:t>物资储备、应急运输、油料供给、卫勤保障、技术服务等</w:t>
      </w:r>
      <w:r>
        <w:rPr>
          <w:rFonts w:hint="eastAsia" w:ascii="仿宋" w:hAnsi="仿宋" w:eastAsia="仿宋"/>
          <w:sz w:val="32"/>
          <w:szCs w:val="32"/>
          <w:lang w:val="en-US"/>
        </w:rPr>
        <w:t>实战</w:t>
      </w:r>
      <w:r>
        <w:rPr>
          <w:rFonts w:hint="eastAsia" w:ascii="仿宋" w:hAnsi="仿宋" w:eastAsia="仿宋"/>
          <w:sz w:val="32"/>
          <w:szCs w:val="32"/>
        </w:rPr>
        <w:t>功能。力争“十四五”末完成各县（市）战勤保障点建设，形成重点突出、网状覆盖的全市消防战勤保障格局。</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（四）推进消防供水设施建设。</w:t>
      </w:r>
      <w:bookmarkStart w:id="50" w:name="_Toc524961543"/>
      <w:r>
        <w:rPr>
          <w:rFonts w:hint="eastAsia" w:ascii="仿宋" w:hAnsi="仿宋" w:eastAsia="仿宋"/>
          <w:sz w:val="32"/>
          <w:szCs w:val="32"/>
          <w:lang w:val="en-US"/>
        </w:rPr>
        <w:t>推进</w:t>
      </w:r>
      <w:r>
        <w:rPr>
          <w:rFonts w:hint="eastAsia" w:ascii="仿宋" w:hAnsi="仿宋" w:eastAsia="仿宋"/>
          <w:sz w:val="32"/>
          <w:szCs w:val="32"/>
        </w:rPr>
        <w:t>《滁州市消防水源管理办法》</w:t>
      </w:r>
      <w:r>
        <w:rPr>
          <w:rFonts w:hint="eastAsia" w:ascii="仿宋" w:hAnsi="仿宋" w:eastAsia="仿宋"/>
          <w:sz w:val="32"/>
          <w:szCs w:val="32"/>
          <w:lang w:val="en-US"/>
        </w:rPr>
        <w:t>立法工作</w:t>
      </w:r>
      <w:r>
        <w:rPr>
          <w:rFonts w:hint="eastAsia" w:ascii="仿宋" w:hAnsi="仿宋" w:eastAsia="仿宋"/>
          <w:sz w:val="32"/>
          <w:szCs w:val="32"/>
        </w:rPr>
        <w:t>，明确各类消防水源规划、建设、管理职责。在全市范围内完善市政供水系统</w:t>
      </w:r>
      <w:bookmarkEnd w:id="50"/>
      <w:r>
        <w:rPr>
          <w:rFonts w:hint="eastAsia" w:ascii="仿宋" w:hAnsi="仿宋" w:eastAsia="仿宋"/>
          <w:sz w:val="32"/>
          <w:szCs w:val="32"/>
        </w:rPr>
        <w:t>，实现市政消火栓、消防水鹤与城市供水、道路等基础设施同步规划、同步设计、同步建设、同步投入使用。推动在消防供水不足和消防水源匮乏的城乡结合部、农村地区设置消防水池。</w:t>
      </w:r>
      <w:r>
        <w:rPr>
          <w:rFonts w:ascii="仿宋" w:hAnsi="仿宋" w:eastAsia="仿宋"/>
          <w:sz w:val="32"/>
          <w:szCs w:val="32"/>
        </w:rPr>
        <w:t>202</w:t>
      </w:r>
      <w:r>
        <w:rPr>
          <w:rFonts w:hint="eastAsia" w:ascii="仿宋" w:hAnsi="仿宋" w:eastAsia="仿宋"/>
          <w:sz w:val="32"/>
          <w:szCs w:val="32"/>
          <w:lang w:val="en-US"/>
        </w:rPr>
        <w:t>2</w:t>
      </w:r>
      <w:r>
        <w:rPr>
          <w:rFonts w:ascii="仿宋" w:hAnsi="仿宋" w:eastAsia="仿宋"/>
          <w:sz w:val="32"/>
          <w:szCs w:val="32"/>
        </w:rPr>
        <w:t>-202</w:t>
      </w:r>
      <w:r>
        <w:rPr>
          <w:rFonts w:hint="eastAsia" w:ascii="仿宋" w:hAnsi="仿宋" w:eastAsia="仿宋"/>
          <w:sz w:val="32"/>
          <w:szCs w:val="32"/>
          <w:lang w:val="en-US"/>
        </w:rPr>
        <w:t>4</w:t>
      </w:r>
      <w:r>
        <w:rPr>
          <w:rFonts w:hint="eastAsia" w:ascii="仿宋" w:hAnsi="仿宋" w:eastAsia="仿宋"/>
          <w:sz w:val="32"/>
          <w:szCs w:val="32"/>
        </w:rPr>
        <w:t>年，依托河流和湖泊</w:t>
      </w:r>
      <w:r>
        <w:rPr>
          <w:rFonts w:ascii="仿宋" w:hAnsi="仿宋" w:eastAsia="仿宋"/>
          <w:sz w:val="32"/>
          <w:szCs w:val="32"/>
        </w:rPr>
        <w:t>(水库)等可利用的天然水源建设消防取水</w:t>
      </w:r>
      <w:r>
        <w:rPr>
          <w:rFonts w:hint="eastAsia" w:ascii="仿宋" w:hAnsi="仿宋" w:eastAsia="仿宋"/>
          <w:sz w:val="32"/>
          <w:szCs w:val="32"/>
          <w:lang w:val="en-US"/>
        </w:rPr>
        <w:t>站台（</w:t>
      </w:r>
      <w:r>
        <w:rPr>
          <w:rFonts w:hint="eastAsia" w:ascii="仿宋" w:hAnsi="仿宋" w:eastAsia="仿宋"/>
          <w:sz w:val="32"/>
          <w:szCs w:val="32"/>
        </w:rPr>
        <w:t>码头</w:t>
      </w:r>
      <w:r>
        <w:rPr>
          <w:rFonts w:hint="eastAsia" w:ascii="仿宋" w:hAnsi="仿宋" w:eastAsia="仿宋"/>
          <w:sz w:val="32"/>
          <w:szCs w:val="32"/>
          <w:lang w:val="en-US"/>
        </w:rPr>
        <w:t>）</w:t>
      </w:r>
      <w:r>
        <w:rPr>
          <w:rFonts w:hint="eastAsia" w:ascii="仿宋" w:hAnsi="仿宋" w:eastAsia="仿宋"/>
          <w:sz w:val="32"/>
          <w:szCs w:val="32"/>
        </w:rPr>
        <w:t>。开展居住小区消火栓调研普查，增设、补建消火栓，开展市政消火栓标线标识工作，2023年完成“智慧消防水源系统”的开发和应用。</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（五）畅通消防车通道。</w:t>
      </w:r>
      <w:r>
        <w:rPr>
          <w:rFonts w:hint="eastAsia" w:ascii="仿宋" w:hAnsi="仿宋" w:eastAsia="仿宋"/>
          <w:sz w:val="32"/>
          <w:szCs w:val="32"/>
        </w:rPr>
        <w:t>不断提高城市建成区道路网密度，推动消防车通道与城市建设协调发展。通过拆除道路、小街巷两侧违法建设，拓宽和打通城市消防车通道。持续整治占用、堵塞、封闭消防车通道行为，组织公共建筑以及居住小区对消防车通道划线、标名、立牌，实行标识化管理，整治居住小区内部机动车乱停乱放、堵占小区大门、私设限高限宽设施等影响消防车通行的问题。加大公共停车设施建设，增加老旧小区周边公共停车设施，合理利用空间规划建设停车位，规范管理居民停车。整治商业中心、综合性医院、集中办公楼等区域消防车通道被占用、堵塞等问题。</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（六）升级消防通信指挥系统。</w:t>
      </w:r>
      <w:r>
        <w:rPr>
          <w:rFonts w:hint="eastAsia" w:ascii="仿宋" w:hAnsi="仿宋" w:eastAsia="仿宋"/>
          <w:sz w:val="32"/>
          <w:szCs w:val="32"/>
        </w:rPr>
        <w:t>高</w:t>
      </w:r>
      <w:r>
        <w:rPr>
          <w:rFonts w:ascii="仿宋" w:hAnsi="仿宋" w:eastAsia="仿宋"/>
          <w:sz w:val="32"/>
          <w:szCs w:val="32"/>
        </w:rPr>
        <w:t>水平</w:t>
      </w:r>
      <w:r>
        <w:rPr>
          <w:rFonts w:hint="eastAsia" w:ascii="仿宋" w:hAnsi="仿宋" w:eastAsia="仿宋"/>
          <w:sz w:val="32"/>
          <w:szCs w:val="32"/>
        </w:rPr>
        <w:t>升级市、县两级消防通信指挥系统和指挥中心,实现全市范围的智能化独立接警。建设现代化的救援信息支撑系统，打造消防救援指挥“一张图”，不断提高全市消防通信指挥信息化水平。通过多网融合，实现全市救援装备的智能网联，升级整合应急指挥调度网，完善消防无线调度指挥网和消防移动应用通信网络，加强无线卫星通信装备的配置。</w:t>
      </w:r>
    </w:p>
    <w:p>
      <w:pPr>
        <w:spacing w:before="260" w:after="260" w:line="580" w:lineRule="exact"/>
        <w:ind w:firstLine="643"/>
        <w:jc w:val="both"/>
        <w:outlineLvl w:val="1"/>
        <w:rPr>
          <w:rFonts w:ascii="黑体" w:hAnsi="黑体" w:eastAsia="黑体" w:cs="宋体"/>
          <w:b/>
          <w:color w:val="000000"/>
          <w:sz w:val="32"/>
          <w:szCs w:val="32"/>
        </w:rPr>
      </w:pPr>
      <w:bookmarkStart w:id="51" w:name="_Toc57646770"/>
      <w:bookmarkStart w:id="52" w:name="_Toc89958967"/>
      <w:r>
        <w:rPr>
          <w:rFonts w:hint="eastAsia" w:ascii="黑体" w:hAnsi="黑体" w:eastAsia="黑体"/>
          <w:b/>
          <w:sz w:val="32"/>
          <w:szCs w:val="32"/>
        </w:rPr>
        <w:t>二、推进消防救援装备提质升级</w:t>
      </w:r>
      <w:bookmarkEnd w:id="51"/>
      <w:bookmarkEnd w:id="52"/>
    </w:p>
    <w:p>
      <w:pPr>
        <w:spacing w:line="580" w:lineRule="exact"/>
        <w:ind w:firstLine="643"/>
        <w:jc w:val="both"/>
        <w:rPr>
          <w:rFonts w:ascii="仿宋" w:hAnsi="仿宋" w:eastAsia="仿宋"/>
          <w:sz w:val="32"/>
          <w:szCs w:val="32"/>
          <w:lang w:val="en-US"/>
        </w:rPr>
      </w:pPr>
      <w:r>
        <w:rPr>
          <w:rFonts w:hint="eastAsia" w:ascii="楷体" w:hAnsi="楷体" w:eastAsia="楷体"/>
          <w:b/>
          <w:bCs/>
          <w:sz w:val="32"/>
          <w:szCs w:val="32"/>
        </w:rPr>
        <w:t>（一）落实消防站车辆装备达标建设。</w:t>
      </w:r>
      <w:r>
        <w:rPr>
          <w:rFonts w:hint="eastAsia" w:ascii="仿宋" w:hAnsi="仿宋" w:eastAsia="仿宋"/>
          <w:sz w:val="32"/>
          <w:szCs w:val="32"/>
        </w:rPr>
        <w:t>依据《城市消防站建设标准》，逐步更新升级现有不符合实战要求、质量性能不达标的</w:t>
      </w:r>
      <w:r>
        <w:rPr>
          <w:rFonts w:hint="eastAsia" w:ascii="仿宋" w:hAnsi="仿宋" w:eastAsia="仿宋"/>
          <w:sz w:val="32"/>
          <w:szCs w:val="32"/>
          <w:lang w:val="en-US"/>
        </w:rPr>
        <w:t>器材</w:t>
      </w:r>
      <w:r>
        <w:rPr>
          <w:rFonts w:hint="eastAsia" w:ascii="仿宋" w:hAnsi="仿宋" w:eastAsia="仿宋"/>
          <w:sz w:val="32"/>
          <w:szCs w:val="32"/>
        </w:rPr>
        <w:t>装备，完成专用车辆装备缺配和实战新增装备补齐工作。“</w:t>
      </w:r>
      <w:r>
        <w:rPr>
          <w:rFonts w:hint="eastAsia" w:ascii="仿宋" w:hAnsi="仿宋" w:eastAsia="仿宋"/>
          <w:sz w:val="32"/>
          <w:szCs w:val="32"/>
          <w:lang w:val="en-US"/>
        </w:rPr>
        <w:t>十四五”时期，全市要完成配备各类消防救援车辆</w:t>
      </w:r>
      <w:r>
        <w:rPr>
          <w:rFonts w:ascii="仿宋" w:hAnsi="仿宋" w:eastAsia="仿宋"/>
          <w:sz w:val="32"/>
          <w:szCs w:val="32"/>
          <w:lang w:val="en-US"/>
        </w:rPr>
        <w:t>162</w:t>
      </w:r>
      <w:r>
        <w:rPr>
          <w:rFonts w:hint="eastAsia" w:ascii="仿宋" w:hAnsi="仿宋" w:eastAsia="仿宋"/>
          <w:sz w:val="32"/>
          <w:szCs w:val="32"/>
          <w:lang w:val="en-US"/>
        </w:rPr>
        <w:t>辆，包括配备应对化工救援的重型泡沫水罐车（至少2辆，且载重不小于9吨泡沫和9吨水）</w:t>
      </w:r>
      <w:r>
        <w:rPr>
          <w:rFonts w:ascii="仿宋" w:hAnsi="仿宋" w:eastAsia="仿宋"/>
          <w:sz w:val="32"/>
          <w:szCs w:val="32"/>
          <w:lang w:val="en-US"/>
        </w:rPr>
        <w:t>10</w:t>
      </w:r>
      <w:r>
        <w:rPr>
          <w:rFonts w:hint="eastAsia" w:ascii="仿宋" w:hAnsi="仿宋" w:eastAsia="仿宋"/>
          <w:sz w:val="32"/>
          <w:szCs w:val="32"/>
          <w:lang w:val="en-US"/>
        </w:rPr>
        <w:t>辆、压缩空气泡沫消防车</w:t>
      </w:r>
      <w:r>
        <w:rPr>
          <w:rFonts w:ascii="仿宋" w:hAnsi="仿宋" w:eastAsia="仿宋"/>
          <w:sz w:val="32"/>
          <w:szCs w:val="32"/>
          <w:lang w:val="en-US"/>
        </w:rPr>
        <w:t>8</w:t>
      </w:r>
      <w:r>
        <w:rPr>
          <w:rFonts w:hint="eastAsia" w:ascii="仿宋" w:hAnsi="仿宋" w:eastAsia="仿宋"/>
          <w:sz w:val="32"/>
          <w:szCs w:val="32"/>
          <w:lang w:val="en-US"/>
        </w:rPr>
        <w:t>辆、化学抢险救援消防车</w:t>
      </w:r>
      <w:r>
        <w:rPr>
          <w:rFonts w:ascii="仿宋" w:hAnsi="仿宋" w:eastAsia="仿宋"/>
          <w:sz w:val="32"/>
          <w:szCs w:val="32"/>
          <w:lang w:val="en-US"/>
        </w:rPr>
        <w:t>5</w:t>
      </w:r>
      <w:r>
        <w:rPr>
          <w:rFonts w:hint="eastAsia" w:ascii="仿宋" w:hAnsi="仿宋" w:eastAsia="仿宋"/>
          <w:sz w:val="32"/>
          <w:szCs w:val="32"/>
          <w:lang w:val="en-US"/>
        </w:rPr>
        <w:t>辆、大功率泡沫高喷车（流量不小于1</w:t>
      </w:r>
      <w:r>
        <w:rPr>
          <w:rFonts w:ascii="仿宋" w:hAnsi="仿宋" w:eastAsia="仿宋"/>
          <w:sz w:val="32"/>
          <w:szCs w:val="32"/>
          <w:lang w:val="en-US"/>
        </w:rPr>
        <w:t>60</w:t>
      </w:r>
      <w:r>
        <w:rPr>
          <w:rFonts w:hint="eastAsia" w:ascii="仿宋" w:hAnsi="仿宋" w:eastAsia="仿宋"/>
          <w:sz w:val="32"/>
          <w:szCs w:val="32"/>
          <w:lang w:val="en-US"/>
        </w:rPr>
        <w:t>L</w:t>
      </w:r>
      <w:r>
        <w:rPr>
          <w:rFonts w:ascii="仿宋" w:hAnsi="仿宋" w:eastAsia="仿宋"/>
          <w:sz w:val="32"/>
          <w:szCs w:val="32"/>
          <w:lang w:val="en-US"/>
        </w:rPr>
        <w:t>/s</w:t>
      </w:r>
      <w:r>
        <w:rPr>
          <w:rFonts w:hint="eastAsia" w:ascii="仿宋" w:hAnsi="仿宋" w:eastAsia="仿宋"/>
          <w:sz w:val="32"/>
          <w:szCs w:val="32"/>
          <w:lang w:val="en-US"/>
        </w:rPr>
        <w:t>）2辆、淋浴洗消车1辆、氮气消防车1辆、三相射流举高喷射消防车6辆；配备应对大型商业综合体、大型厂房仓库火灾扑救的高喷车（不小于50米）</w:t>
      </w:r>
      <w:r>
        <w:rPr>
          <w:rFonts w:ascii="仿宋" w:hAnsi="仿宋" w:eastAsia="仿宋"/>
          <w:sz w:val="32"/>
          <w:szCs w:val="32"/>
          <w:lang w:val="en-US"/>
        </w:rPr>
        <w:t>17</w:t>
      </w:r>
      <w:r>
        <w:rPr>
          <w:rFonts w:hint="eastAsia" w:ascii="仿宋" w:hAnsi="仿宋" w:eastAsia="仿宋"/>
          <w:sz w:val="32"/>
          <w:szCs w:val="32"/>
          <w:lang w:val="en-US"/>
        </w:rPr>
        <w:t>辆、重型水罐车（</w:t>
      </w:r>
      <w:r>
        <w:rPr>
          <w:rFonts w:ascii="仿宋" w:hAnsi="仿宋" w:eastAsia="仿宋"/>
          <w:sz w:val="32"/>
          <w:szCs w:val="32"/>
          <w:lang w:val="en-US"/>
        </w:rPr>
        <w:t>25</w:t>
      </w:r>
      <w:r>
        <w:rPr>
          <w:rFonts w:hint="eastAsia" w:ascii="仿宋" w:hAnsi="仿宋" w:eastAsia="仿宋"/>
          <w:sz w:val="32"/>
          <w:szCs w:val="32"/>
          <w:lang w:val="en-US"/>
        </w:rPr>
        <w:t>吨以上）</w:t>
      </w:r>
      <w:r>
        <w:rPr>
          <w:rFonts w:ascii="仿宋" w:hAnsi="仿宋" w:eastAsia="仿宋"/>
          <w:sz w:val="32"/>
          <w:szCs w:val="32"/>
          <w:lang w:val="en-US"/>
        </w:rPr>
        <w:t>22</w:t>
      </w:r>
      <w:r>
        <w:rPr>
          <w:rFonts w:hint="eastAsia" w:ascii="仿宋" w:hAnsi="仿宋" w:eastAsia="仿宋"/>
          <w:sz w:val="32"/>
          <w:szCs w:val="32"/>
          <w:lang w:val="en-US"/>
        </w:rPr>
        <w:t>辆；配备应对高层建筑救援的54米以上登高平台车</w:t>
      </w:r>
      <w:r>
        <w:rPr>
          <w:rFonts w:ascii="仿宋" w:hAnsi="仿宋" w:eastAsia="仿宋"/>
          <w:sz w:val="32"/>
          <w:szCs w:val="32"/>
          <w:lang w:val="en-US"/>
        </w:rPr>
        <w:t>4</w:t>
      </w:r>
      <w:r>
        <w:rPr>
          <w:rFonts w:hint="eastAsia" w:ascii="仿宋" w:hAnsi="仿宋" w:eastAsia="仿宋"/>
          <w:sz w:val="32"/>
          <w:szCs w:val="32"/>
          <w:lang w:val="en-US"/>
        </w:rPr>
        <w:t>辆、54米以上云梯车2辆和高层建筑无人机灭火消防车</w:t>
      </w:r>
      <w:r>
        <w:rPr>
          <w:rFonts w:ascii="仿宋" w:hAnsi="仿宋" w:eastAsia="仿宋"/>
          <w:sz w:val="32"/>
          <w:szCs w:val="32"/>
          <w:lang w:val="en-US"/>
        </w:rPr>
        <w:t>6</w:t>
      </w:r>
      <w:r>
        <w:rPr>
          <w:rFonts w:hint="eastAsia" w:ascii="仿宋" w:hAnsi="仿宋" w:eastAsia="仿宋"/>
          <w:sz w:val="32"/>
          <w:szCs w:val="32"/>
          <w:lang w:val="en-US"/>
        </w:rPr>
        <w:t>辆；配备应对地震救援的器材装备模块车、侦察前突车、物资运输车、大型宿营车等4辆；配备应对轨道救援的路轨两用消防车1辆；配备其他各</w:t>
      </w:r>
      <w:r>
        <w:rPr>
          <w:rFonts w:ascii="仿宋" w:hAnsi="仿宋" w:eastAsia="仿宋"/>
          <w:sz w:val="32"/>
          <w:szCs w:val="32"/>
          <w:lang w:val="en-US"/>
        </w:rPr>
        <w:t>类型</w:t>
      </w:r>
      <w:r>
        <w:rPr>
          <w:rFonts w:hint="eastAsia" w:ascii="仿宋" w:hAnsi="仿宋" w:eastAsia="仿宋"/>
          <w:sz w:val="32"/>
          <w:szCs w:val="32"/>
          <w:lang w:val="en-US"/>
        </w:rPr>
        <w:t>消防车辆</w:t>
      </w:r>
      <w:r>
        <w:rPr>
          <w:rFonts w:ascii="仿宋" w:hAnsi="仿宋" w:eastAsia="仿宋"/>
          <w:sz w:val="32"/>
          <w:szCs w:val="32"/>
          <w:lang w:val="en-US"/>
        </w:rPr>
        <w:t>73</w:t>
      </w:r>
      <w:r>
        <w:rPr>
          <w:rFonts w:hint="eastAsia" w:ascii="仿宋" w:hAnsi="仿宋" w:eastAsia="仿宋"/>
          <w:sz w:val="32"/>
          <w:szCs w:val="32"/>
          <w:lang w:val="en-US"/>
        </w:rPr>
        <w:t>辆。至2025年，全市特勤、一级、二级、战保消防站供水链路分别不低于330L/s、270L/s、160L/s、490L/s，灭火类与其他类别消防车比例达到1：1。</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（二）强化专业</w:t>
      </w:r>
      <w:r>
        <w:rPr>
          <w:rFonts w:hint="eastAsia" w:ascii="楷体" w:hAnsi="楷体" w:eastAsia="楷体"/>
          <w:b/>
          <w:bCs/>
          <w:sz w:val="32"/>
          <w:szCs w:val="32"/>
          <w:lang w:val="en-US"/>
        </w:rPr>
        <w:t>攻坚装备</w:t>
      </w:r>
      <w:r>
        <w:rPr>
          <w:rFonts w:hint="eastAsia" w:ascii="楷体" w:hAnsi="楷体" w:eastAsia="楷体"/>
          <w:b/>
          <w:bCs/>
          <w:sz w:val="32"/>
          <w:szCs w:val="32"/>
        </w:rPr>
        <w:t>配备。</w:t>
      </w:r>
      <w:r>
        <w:rPr>
          <w:rFonts w:hint="eastAsia" w:ascii="仿宋" w:hAnsi="仿宋" w:eastAsia="仿宋"/>
          <w:sz w:val="32"/>
          <w:szCs w:val="32"/>
        </w:rPr>
        <w:t>针对高层、地下灾害</w:t>
      </w:r>
      <w:r>
        <w:rPr>
          <w:rFonts w:hint="eastAsia" w:ascii="仿宋" w:hAnsi="仿宋" w:eastAsia="仿宋"/>
          <w:sz w:val="32"/>
          <w:szCs w:val="32"/>
          <w:lang w:val="en-US"/>
        </w:rPr>
        <w:t>救援现场</w:t>
      </w:r>
      <w:r>
        <w:rPr>
          <w:rFonts w:hint="eastAsia" w:ascii="仿宋" w:hAnsi="仿宋" w:eastAsia="仿宋"/>
          <w:sz w:val="32"/>
          <w:szCs w:val="32"/>
        </w:rPr>
        <w:t>，配备新型搜救设备、远距离音视频通讯、有毒有害物质快速分析、长时间照明、排烟降温、疏散指引等装备，配备具有通讯、定位、长时间使用功能的新型呼吸防护设备；针对重、特大火灾事故，配备履带式或轮式灭火、侦检、排烟机器人，侦查、照明、载重无人机等新型智能化装备；针对各种新技术、新材料应用，增配玻璃幕墙专用破拆装备、全功能切割锯、水下破拆工具组、电动破拆工具组等新型破拆装备；</w:t>
      </w:r>
      <w:r>
        <w:rPr>
          <w:rFonts w:hint="eastAsia" w:ascii="仿宋" w:hAnsi="仿宋" w:eastAsia="仿宋"/>
          <w:sz w:val="32"/>
          <w:szCs w:val="32"/>
          <w:lang w:val="en-US"/>
        </w:rPr>
        <w:t>凤阳县、全椒县和市区按照每站不少于2套完成应对文物古建火灾的</w:t>
      </w:r>
      <w:r>
        <w:rPr>
          <w:rFonts w:hint="eastAsia" w:ascii="仿宋" w:hAnsi="仿宋" w:eastAsia="仿宋"/>
          <w:sz w:val="32"/>
          <w:szCs w:val="32"/>
        </w:rPr>
        <w:t>新型移动式气体或干粉灭火设备的</w:t>
      </w:r>
      <w:r>
        <w:rPr>
          <w:rFonts w:hint="eastAsia" w:ascii="仿宋" w:hAnsi="仿宋" w:eastAsia="仿宋"/>
          <w:sz w:val="32"/>
          <w:szCs w:val="32"/>
          <w:lang w:val="en-US"/>
        </w:rPr>
        <w:t>配备</w:t>
      </w:r>
      <w:r>
        <w:rPr>
          <w:rFonts w:hint="eastAsia" w:ascii="仿宋" w:hAnsi="仿宋" w:eastAsia="仿宋"/>
          <w:sz w:val="32"/>
          <w:szCs w:val="32"/>
        </w:rPr>
        <w:t>；</w:t>
      </w:r>
      <w:r>
        <w:rPr>
          <w:rFonts w:hint="eastAsia" w:ascii="仿宋" w:hAnsi="仿宋" w:eastAsia="仿宋"/>
          <w:sz w:val="32"/>
          <w:szCs w:val="32"/>
          <w:lang w:val="en-US"/>
        </w:rPr>
        <w:t>为化工救援专业队和化工园区消防队</w:t>
      </w:r>
      <w:r>
        <w:rPr>
          <w:rFonts w:hint="eastAsia" w:ascii="仿宋" w:hAnsi="仿宋" w:eastAsia="仿宋"/>
          <w:sz w:val="32"/>
          <w:szCs w:val="32"/>
        </w:rPr>
        <w:t>配备侦检、堵漏、输转、洗消、化学防护等专用装备；</w:t>
      </w:r>
      <w:r>
        <w:rPr>
          <w:rFonts w:hint="eastAsia" w:ascii="仿宋" w:hAnsi="仿宋" w:eastAsia="仿宋"/>
          <w:sz w:val="32"/>
          <w:szCs w:val="32"/>
          <w:lang w:val="en-US"/>
        </w:rPr>
        <w:t>为主要担负森林救援的消防站</w:t>
      </w:r>
      <w:r>
        <w:rPr>
          <w:rFonts w:hint="eastAsia" w:ascii="仿宋" w:hAnsi="仿宋" w:eastAsia="仿宋"/>
          <w:sz w:val="32"/>
          <w:szCs w:val="32"/>
        </w:rPr>
        <w:t>配备单兵防护、灭火以及班组储、供水装备；完善抛投无人机、水面救援船艇、水下搜救破拆打捞、通信、防护、浮桥等专业救援装备配备。</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（三）推进防护装备清理及维保装备建设。</w:t>
      </w:r>
      <w:r>
        <w:rPr>
          <w:rFonts w:hint="eastAsia" w:ascii="仿宋" w:hAnsi="仿宋" w:eastAsia="仿宋"/>
          <w:sz w:val="32"/>
          <w:szCs w:val="32"/>
        </w:rPr>
        <w:t>加强消防员防护装备达标统型建设，实现个人防护装备“减负增效”，提高防护装备性能。加强消防员职业健康发展，推进专业清洗、消毒设备建设，</w:t>
      </w:r>
      <w:r>
        <w:rPr>
          <w:rFonts w:hint="eastAsia" w:ascii="仿宋" w:hAnsi="仿宋" w:eastAsia="仿宋"/>
          <w:sz w:val="32"/>
          <w:szCs w:val="32"/>
          <w:lang w:val="en-US"/>
        </w:rPr>
        <w:t>2022年</w:t>
      </w:r>
      <w:r>
        <w:rPr>
          <w:rFonts w:hint="eastAsia" w:ascii="仿宋" w:hAnsi="仿宋" w:eastAsia="仿宋"/>
          <w:sz w:val="32"/>
          <w:szCs w:val="32"/>
        </w:rPr>
        <w:t>建</w:t>
      </w:r>
      <w:r>
        <w:rPr>
          <w:rFonts w:hint="eastAsia" w:ascii="仿宋" w:hAnsi="仿宋" w:eastAsia="仿宋"/>
          <w:sz w:val="32"/>
          <w:szCs w:val="32"/>
          <w:lang w:val="en-US"/>
        </w:rPr>
        <w:t>设</w:t>
      </w:r>
      <w:r>
        <w:rPr>
          <w:rFonts w:hint="eastAsia" w:ascii="仿宋" w:hAnsi="仿宋" w:eastAsia="仿宋"/>
          <w:sz w:val="32"/>
          <w:szCs w:val="32"/>
        </w:rPr>
        <w:t>支队级防护服装专业清洗站，提升灭火、化学防护服专业清洗、维护保养水平。</w:t>
      </w:r>
      <w:r>
        <w:rPr>
          <w:rFonts w:hint="eastAsia" w:ascii="仿宋" w:hAnsi="仿宋" w:eastAsia="仿宋"/>
          <w:sz w:val="32"/>
          <w:szCs w:val="32"/>
          <w:lang w:val="en-US"/>
        </w:rPr>
        <w:t>2023年</w:t>
      </w:r>
      <w:r>
        <w:rPr>
          <w:rFonts w:hint="eastAsia" w:ascii="仿宋" w:hAnsi="仿宋" w:eastAsia="仿宋"/>
          <w:sz w:val="32"/>
          <w:szCs w:val="32"/>
        </w:rPr>
        <w:t>建立支队级装备性能检测及维修中心，借助社会力量，提高装备技术性能检测及维修水平，依托具备相应检测资质的专业机构，定期开展消防车整车性能、罐类消防车水力性能、举高类消防车安全性能、正压式空气呼吸器整机校验性能、液压破拆工具组液压密闭性检测器材标定工作，定期开展常规装备的性能检查、测试。为各消防救援站及乡镇消防站配备自动体外除颤器(AED)，用于应急医疗救助。</w:t>
      </w:r>
    </w:p>
    <w:p>
      <w:pPr>
        <w:spacing w:before="260" w:after="260" w:line="580" w:lineRule="exact"/>
        <w:ind w:firstLine="643"/>
        <w:jc w:val="both"/>
        <w:outlineLvl w:val="1"/>
        <w:rPr>
          <w:rFonts w:ascii="黑体" w:hAnsi="黑体" w:eastAsia="黑体"/>
          <w:b/>
          <w:bCs/>
          <w:sz w:val="32"/>
          <w:szCs w:val="32"/>
          <w:lang w:val="en-US"/>
        </w:rPr>
      </w:pPr>
      <w:bookmarkStart w:id="53" w:name="_Toc57646775"/>
      <w:bookmarkStart w:id="54" w:name="_Toc89958968"/>
      <w:r>
        <w:rPr>
          <w:rFonts w:hint="eastAsia" w:ascii="黑体" w:hAnsi="黑体" w:eastAsia="黑体"/>
          <w:b/>
          <w:bCs/>
          <w:sz w:val="32"/>
          <w:szCs w:val="32"/>
          <w:lang w:val="en-US"/>
        </w:rPr>
        <w:t>三、完善消防信息化支撑体系</w:t>
      </w:r>
      <w:bookmarkEnd w:id="53"/>
      <w:bookmarkEnd w:id="54"/>
    </w:p>
    <w:p>
      <w:pPr>
        <w:spacing w:line="580" w:lineRule="exact"/>
        <w:ind w:firstLine="643"/>
        <w:jc w:val="both"/>
        <w:rPr>
          <w:rFonts w:ascii="仿宋" w:hAnsi="仿宋" w:eastAsia="仿宋"/>
          <w:sz w:val="32"/>
          <w:szCs w:val="32"/>
        </w:rPr>
      </w:pPr>
      <w:r>
        <w:rPr>
          <w:rFonts w:hint="eastAsia" w:ascii="楷体" w:hAnsi="楷体" w:eastAsia="楷体"/>
          <w:b/>
          <w:bCs/>
          <w:sz w:val="32"/>
          <w:szCs w:val="32"/>
        </w:rPr>
        <w:t>（一）建设广域覆盖的消防感知网络。</w:t>
      </w:r>
      <w:r>
        <w:rPr>
          <w:rFonts w:hint="eastAsia" w:ascii="仿宋" w:hAnsi="仿宋" w:eastAsia="仿宋"/>
          <w:sz w:val="32"/>
          <w:szCs w:val="32"/>
        </w:rPr>
        <w:t>围绕火灾防控、消防救援、队伍管理、公众服务等应用场景，利用视频感知、物联感知、卫星感知等新技术手段，构建多维度、立体化广域覆盖的消防感知数据采集体系，汇聚优质可靠的信息数据，为消防救援和火灾风险防控提供科技支撑。</w:t>
      </w:r>
      <w:bookmarkStart w:id="55" w:name="_Toc18946940"/>
      <w:bookmarkStart w:id="56" w:name="_Toc30758"/>
      <w:bookmarkStart w:id="57" w:name="_Toc27626"/>
      <w:bookmarkStart w:id="58" w:name="_Toc27392"/>
      <w:bookmarkStart w:id="59" w:name="_Toc18566"/>
      <w:bookmarkStart w:id="60" w:name="_Toc18238"/>
      <w:bookmarkStart w:id="61" w:name="_Toc11387"/>
      <w:r>
        <w:rPr>
          <w:rFonts w:hint="eastAsia" w:ascii="仿宋" w:hAnsi="仿宋" w:eastAsia="仿宋"/>
          <w:sz w:val="32"/>
          <w:szCs w:val="32"/>
        </w:rPr>
        <w:t>加快推进消防救援和火灾风险防控领域物联感知网络的建设，推进相关行业部门灾害防控和城市运行安全的感知数据接入，共享城市公共安全视频监控、交通道路监控和单位内部监控等视频资源。推进人、车、装备等可用消防救援资源的自动化、智能化信息采集，加强针对消防设施、消防员、消防救援装备的感知网络建设。202</w:t>
      </w:r>
      <w:r>
        <w:rPr>
          <w:rFonts w:ascii="仿宋" w:hAnsi="仿宋" w:eastAsia="仿宋"/>
          <w:sz w:val="32"/>
          <w:szCs w:val="32"/>
        </w:rPr>
        <w:t>4</w:t>
      </w:r>
      <w:r>
        <w:rPr>
          <w:rFonts w:hint="eastAsia" w:ascii="仿宋" w:hAnsi="仿宋" w:eastAsia="仿宋"/>
          <w:sz w:val="32"/>
          <w:szCs w:val="32"/>
        </w:rPr>
        <w:t>年前完成</w:t>
      </w:r>
      <w:r>
        <w:rPr>
          <w:rFonts w:hint="eastAsia" w:ascii="仿宋" w:hAnsi="仿宋" w:eastAsia="仿宋"/>
          <w:sz w:val="32"/>
          <w:szCs w:val="32"/>
          <w:lang w:val="en-US"/>
        </w:rPr>
        <w:t>滁州市</w:t>
      </w:r>
      <w:r>
        <w:rPr>
          <w:rFonts w:hint="eastAsia" w:ascii="仿宋" w:hAnsi="仿宋" w:eastAsia="仿宋"/>
          <w:sz w:val="32"/>
          <w:szCs w:val="32"/>
        </w:rPr>
        <w:t>主城区消防感知网建设，2025年前完成</w:t>
      </w:r>
      <w:r>
        <w:rPr>
          <w:rFonts w:hint="eastAsia" w:ascii="仿宋" w:hAnsi="仿宋" w:eastAsia="仿宋"/>
          <w:sz w:val="32"/>
          <w:szCs w:val="32"/>
          <w:lang w:val="en-US"/>
        </w:rPr>
        <w:t>其余</w:t>
      </w:r>
      <w:r>
        <w:rPr>
          <w:rFonts w:hint="eastAsia" w:ascii="仿宋" w:hAnsi="仿宋" w:eastAsia="仿宋"/>
          <w:sz w:val="32"/>
          <w:szCs w:val="32"/>
        </w:rPr>
        <w:t>6个县（市）的消防感知网建设。</w:t>
      </w:r>
    </w:p>
    <w:bookmarkEnd w:id="55"/>
    <w:bookmarkEnd w:id="56"/>
    <w:bookmarkEnd w:id="57"/>
    <w:bookmarkEnd w:id="58"/>
    <w:bookmarkEnd w:id="59"/>
    <w:bookmarkEnd w:id="60"/>
    <w:bookmarkEnd w:id="61"/>
    <w:p>
      <w:pPr>
        <w:spacing w:line="580" w:lineRule="exact"/>
        <w:ind w:firstLine="643"/>
        <w:jc w:val="both"/>
        <w:rPr>
          <w:rFonts w:ascii="仿宋" w:hAnsi="仿宋" w:eastAsia="仿宋"/>
          <w:sz w:val="32"/>
          <w:szCs w:val="32"/>
        </w:rPr>
      </w:pPr>
      <w:r>
        <w:rPr>
          <w:rFonts w:hint="eastAsia" w:ascii="楷体" w:hAnsi="楷体" w:eastAsia="楷体"/>
          <w:b/>
          <w:bCs/>
          <w:sz w:val="32"/>
          <w:szCs w:val="32"/>
        </w:rPr>
        <w:t>（二）建设集约融合的基础通信网络。</w:t>
      </w:r>
      <w:r>
        <w:rPr>
          <w:rFonts w:hint="eastAsia" w:ascii="仿宋" w:hAnsi="仿宋" w:eastAsia="仿宋"/>
          <w:sz w:val="32"/>
          <w:szCs w:val="32"/>
        </w:rPr>
        <w:t>通过共建共用应急通信指挥网，强化基础网络支撑，提供全域覆盖、畅通高效的网络运行环境。按照接入层、汇聚层、核心层设计网络架构，形成“支队—大队—消防救援站”三级消防通信指挥信息网。升级消防通信指挥信息网的网络带宽，加快推进IPv6推广应用，支队级网络带宽不低于</w:t>
      </w:r>
      <w:r>
        <w:rPr>
          <w:rFonts w:ascii="仿宋" w:hAnsi="仿宋" w:eastAsia="仿宋"/>
          <w:sz w:val="32"/>
          <w:szCs w:val="32"/>
        </w:rPr>
        <w:t>10</w:t>
      </w:r>
      <w:r>
        <w:rPr>
          <w:rFonts w:hint="eastAsia" w:ascii="仿宋" w:hAnsi="仿宋" w:eastAsia="仿宋"/>
          <w:sz w:val="32"/>
          <w:szCs w:val="32"/>
        </w:rPr>
        <w:t>00M，各大队互联带宽不低于</w:t>
      </w:r>
      <w:r>
        <w:rPr>
          <w:rFonts w:ascii="仿宋" w:hAnsi="仿宋" w:eastAsia="仿宋"/>
          <w:sz w:val="32"/>
          <w:szCs w:val="32"/>
        </w:rPr>
        <w:t>5</w:t>
      </w:r>
      <w:r>
        <w:rPr>
          <w:rFonts w:hint="eastAsia" w:ascii="仿宋" w:hAnsi="仿宋" w:eastAsia="仿宋"/>
          <w:sz w:val="32"/>
          <w:szCs w:val="32"/>
        </w:rPr>
        <w:t>00M，消防救援站带宽不低于</w:t>
      </w:r>
      <w:r>
        <w:rPr>
          <w:rFonts w:ascii="仿宋" w:hAnsi="仿宋" w:eastAsia="仿宋"/>
          <w:sz w:val="32"/>
          <w:szCs w:val="32"/>
        </w:rPr>
        <w:t>20</w:t>
      </w:r>
      <w:r>
        <w:rPr>
          <w:rFonts w:hint="eastAsia" w:ascii="仿宋" w:hAnsi="仿宋" w:eastAsia="仿宋"/>
          <w:sz w:val="32"/>
          <w:szCs w:val="32"/>
        </w:rPr>
        <w:t>0M。按照属地就近接入原则，接入当地“智慧城市”建设，支队级接入带宽不低于</w:t>
      </w:r>
      <w:r>
        <w:rPr>
          <w:rFonts w:ascii="仿宋" w:hAnsi="仿宋" w:eastAsia="仿宋"/>
          <w:sz w:val="32"/>
          <w:szCs w:val="32"/>
        </w:rPr>
        <w:t>10</w:t>
      </w:r>
      <w:r>
        <w:rPr>
          <w:rFonts w:hint="eastAsia" w:ascii="仿宋" w:hAnsi="仿宋" w:eastAsia="仿宋"/>
          <w:sz w:val="32"/>
          <w:szCs w:val="32"/>
        </w:rPr>
        <w:t>00M，大队级接入带宽不低于</w:t>
      </w:r>
      <w:r>
        <w:rPr>
          <w:rFonts w:ascii="仿宋" w:hAnsi="仿宋" w:eastAsia="仿宋"/>
          <w:sz w:val="32"/>
          <w:szCs w:val="32"/>
        </w:rPr>
        <w:t>5</w:t>
      </w:r>
      <w:r>
        <w:rPr>
          <w:rFonts w:hint="eastAsia" w:ascii="仿宋" w:hAnsi="仿宋" w:eastAsia="仿宋"/>
          <w:sz w:val="32"/>
          <w:szCs w:val="32"/>
        </w:rPr>
        <w:t>00M，消防救援站接入带宽不低于</w:t>
      </w:r>
      <w:r>
        <w:rPr>
          <w:rFonts w:ascii="仿宋" w:hAnsi="仿宋" w:eastAsia="仿宋"/>
          <w:sz w:val="32"/>
          <w:szCs w:val="32"/>
        </w:rPr>
        <w:t>10</w:t>
      </w:r>
      <w:r>
        <w:rPr>
          <w:rFonts w:hint="eastAsia" w:ascii="仿宋" w:hAnsi="仿宋" w:eastAsia="仿宋"/>
          <w:sz w:val="32"/>
          <w:szCs w:val="32"/>
        </w:rPr>
        <w:t>0M。增加支队级和各大队级卫星接入终端，加强多运营商网络聚合技术应用，实现多站点链路聚合。综合利用4</w:t>
      </w:r>
      <w:r>
        <w:rPr>
          <w:rFonts w:ascii="仿宋" w:hAnsi="仿宋" w:eastAsia="仿宋"/>
          <w:sz w:val="32"/>
          <w:szCs w:val="32"/>
        </w:rPr>
        <w:t>G/5G</w:t>
      </w:r>
      <w:r>
        <w:rPr>
          <w:rFonts w:hint="eastAsia" w:ascii="仿宋" w:hAnsi="仿宋" w:eastAsia="仿宋"/>
          <w:sz w:val="32"/>
          <w:szCs w:val="32"/>
        </w:rPr>
        <w:t>通信、公网集群、PDT数字集群、Mesh自组网、卫星通信、北斗等多种无线通信和定位技术，解决各类场景下语音、图像、视频、数据高速传输及时间校准、位置服务等需求，为消防救援队伍提供“全地域、全过程、全天候”无线通信服务。</w:t>
      </w:r>
      <w:bookmarkStart w:id="62" w:name="_Toc34806294"/>
      <w:bookmarkStart w:id="63" w:name="_Toc13802"/>
      <w:bookmarkStart w:id="64" w:name="_Toc4537"/>
      <w:bookmarkStart w:id="65" w:name="_Toc18946941"/>
      <w:bookmarkStart w:id="66" w:name="_Toc5"/>
      <w:bookmarkStart w:id="67" w:name="_Toc10843"/>
      <w:bookmarkStart w:id="68" w:name="_Toc11270"/>
      <w:bookmarkStart w:id="69" w:name="_Toc19827"/>
    </w:p>
    <w:bookmarkEnd w:id="62"/>
    <w:p>
      <w:pPr>
        <w:spacing w:line="580" w:lineRule="exact"/>
        <w:ind w:firstLine="643"/>
        <w:jc w:val="both"/>
        <w:rPr>
          <w:rFonts w:ascii="仿宋" w:hAnsi="仿宋" w:eastAsia="仿宋"/>
          <w:sz w:val="32"/>
          <w:szCs w:val="32"/>
        </w:rPr>
      </w:pPr>
      <w:r>
        <w:rPr>
          <w:rFonts w:hint="eastAsia" w:ascii="楷体" w:hAnsi="楷体" w:eastAsia="楷体"/>
          <w:b/>
          <w:bCs/>
          <w:sz w:val="32"/>
          <w:szCs w:val="32"/>
        </w:rPr>
        <w:t>（三）建设消防大数据支撑体系。</w:t>
      </w:r>
      <w:r>
        <w:rPr>
          <w:rFonts w:hint="eastAsia" w:ascii="仿宋" w:hAnsi="仿宋" w:eastAsia="仿宋"/>
          <w:sz w:val="32"/>
          <w:szCs w:val="32"/>
        </w:rPr>
        <w:t>建设消防大数据系统，扩展应用系统数据接入，整合各类信息资源，建设消防综合数据库，实现应急数据汇聚功能，提升大数据支撑能力，2</w:t>
      </w:r>
      <w:r>
        <w:rPr>
          <w:rFonts w:ascii="仿宋" w:hAnsi="仿宋" w:eastAsia="仿宋"/>
          <w:sz w:val="32"/>
          <w:szCs w:val="32"/>
        </w:rPr>
        <w:t>022</w:t>
      </w:r>
      <w:r>
        <w:rPr>
          <w:rFonts w:hint="eastAsia" w:ascii="仿宋" w:hAnsi="仿宋" w:eastAsia="仿宋"/>
          <w:sz w:val="32"/>
          <w:szCs w:val="32"/>
        </w:rPr>
        <w:t>年制定出台《滁州市智慧消防全要素数据建设标准》。推进“消防大脑”建设，对接“城市大脑”，将城市运行感知数据与应急指挥融合，实现数据互联互通，对全市消防安全状态进行即时分析，有效调配公共资源。</w:t>
      </w:r>
    </w:p>
    <w:p>
      <w:pPr>
        <w:spacing w:line="580" w:lineRule="exact"/>
        <w:ind w:firstLine="643"/>
        <w:jc w:val="both"/>
        <w:rPr>
          <w:rFonts w:ascii="仿宋" w:hAnsi="仿宋" w:eastAsia="仿宋"/>
          <w:sz w:val="32"/>
          <w:szCs w:val="32"/>
        </w:rPr>
      </w:pPr>
      <w:r>
        <w:rPr>
          <w:rFonts w:hint="eastAsia" w:ascii="楷体" w:hAnsi="楷体" w:eastAsia="楷体"/>
          <w:b/>
          <w:bCs/>
          <w:sz w:val="32"/>
          <w:szCs w:val="32"/>
        </w:rPr>
        <w:t>（四）建设智慧联动的智慧消防应用体系。</w:t>
      </w:r>
      <w:r>
        <w:rPr>
          <w:rFonts w:hint="eastAsia" w:ascii="仿宋" w:hAnsi="仿宋" w:eastAsia="仿宋"/>
          <w:sz w:val="32"/>
          <w:szCs w:val="32"/>
        </w:rPr>
        <w:t>以“智慧城市”建设为契机，建设“1</w:t>
      </w:r>
      <w:r>
        <w:rPr>
          <w:rFonts w:ascii="仿宋" w:hAnsi="仿宋" w:eastAsia="仿宋"/>
          <w:sz w:val="32"/>
          <w:szCs w:val="32"/>
        </w:rPr>
        <w:t>+1+N”</w:t>
      </w:r>
      <w:r>
        <w:rPr>
          <w:rFonts w:hint="eastAsia" w:ascii="仿宋" w:hAnsi="仿宋" w:eastAsia="仿宋"/>
          <w:sz w:val="32"/>
          <w:szCs w:val="32"/>
        </w:rPr>
        <w:t>城市智慧消防体系，即1个滁州市消防大脑、1套集成门户和N个应用为架构的消防业务应用基础架构，实现市、县两级一体化建设。建设基于大数据、</w:t>
      </w:r>
      <w:r>
        <w:rPr>
          <w:rFonts w:ascii="仿宋" w:hAnsi="仿宋" w:eastAsia="仿宋"/>
          <w:sz w:val="32"/>
          <w:szCs w:val="32"/>
        </w:rPr>
        <w:t>CIM</w:t>
      </w:r>
      <w:r>
        <w:rPr>
          <w:rFonts w:hint="eastAsia" w:ascii="仿宋" w:hAnsi="仿宋" w:eastAsia="仿宋"/>
          <w:sz w:val="32"/>
          <w:szCs w:val="32"/>
        </w:rPr>
        <w:t>的城市“消防大脑”，实现“智慧消防”和“智慧救援”，2023年主城区消防数据全部接入消防大脑，6县（市）2025年前全部接入。完善政务办公、后勤装备、资产管理等管理业务系统。</w:t>
      </w:r>
      <w:r>
        <w:rPr>
          <w:rFonts w:hint="eastAsia" w:ascii="仿宋" w:hAnsi="仿宋" w:eastAsia="仿宋"/>
          <w:sz w:val="32"/>
          <w:szCs w:val="32"/>
          <w:lang w:val="en-US"/>
        </w:rPr>
        <w:t>结合消防执法工作改革，</w:t>
      </w:r>
      <w:r>
        <w:rPr>
          <w:rFonts w:hint="eastAsia" w:ascii="仿宋" w:hAnsi="仿宋" w:eastAsia="仿宋"/>
          <w:sz w:val="32"/>
          <w:szCs w:val="32"/>
        </w:rPr>
        <w:t>加强</w:t>
      </w:r>
      <w:bookmarkStart w:id="70" w:name="_Toc526805882"/>
      <w:bookmarkStart w:id="71" w:name="_Hlk2774383"/>
      <w:r>
        <w:rPr>
          <w:rFonts w:hint="eastAsia" w:ascii="仿宋" w:hAnsi="仿宋" w:eastAsia="仿宋"/>
          <w:sz w:val="32"/>
          <w:szCs w:val="32"/>
        </w:rPr>
        <w:t>滁州市消防门户和消防电子政务的建设，</w:t>
      </w:r>
      <w:bookmarkEnd w:id="70"/>
      <w:bookmarkEnd w:id="71"/>
      <w:r>
        <w:rPr>
          <w:rFonts w:hint="eastAsia" w:ascii="仿宋" w:hAnsi="仿宋" w:eastAsia="仿宋"/>
          <w:sz w:val="32"/>
          <w:szCs w:val="32"/>
        </w:rPr>
        <w:t>推进消防政务信息化、便捷化、智能化。开发并完善“双随机、一公开”、重点监管、信息监管、互联网+管理、火灾事故倒查追责、消防设施维保服务与检测、火灾预警分析、风险防控、隐患整改等监督管理业务系统；开发并完善“119”智能接处警、消防救援图像共享、智能化指挥、灭火救援智能化预案、</w:t>
      </w:r>
      <w:r>
        <w:rPr>
          <w:rFonts w:ascii="仿宋" w:hAnsi="仿宋" w:eastAsia="仿宋"/>
          <w:sz w:val="32"/>
          <w:szCs w:val="32"/>
        </w:rPr>
        <w:t>智能网联消防救援</w:t>
      </w:r>
      <w:r>
        <w:rPr>
          <w:rFonts w:hint="eastAsia" w:ascii="仿宋" w:hAnsi="仿宋" w:eastAsia="仿宋"/>
          <w:sz w:val="32"/>
          <w:szCs w:val="32"/>
        </w:rPr>
        <w:t>、作战训练评估等救援业务系统；2</w:t>
      </w:r>
      <w:r>
        <w:rPr>
          <w:rFonts w:ascii="仿宋" w:hAnsi="仿宋" w:eastAsia="仿宋"/>
          <w:sz w:val="32"/>
          <w:szCs w:val="32"/>
        </w:rPr>
        <w:t>023</w:t>
      </w:r>
      <w:r>
        <w:rPr>
          <w:rFonts w:hint="eastAsia" w:ascii="仿宋" w:hAnsi="仿宋" w:eastAsia="仿宋"/>
          <w:sz w:val="32"/>
          <w:szCs w:val="32"/>
        </w:rPr>
        <w:t>年前全市消防救援车辆配置消防车辆物联网系统，实现一键作战导航、工况监控、药剂监控、车辆智能化培训、智能车辆维护保养、智能战保等功能，提高装备保养的科技水平及快速救援能力。</w:t>
      </w:r>
      <w:bookmarkEnd w:id="63"/>
      <w:bookmarkEnd w:id="64"/>
      <w:bookmarkEnd w:id="65"/>
      <w:bookmarkEnd w:id="66"/>
      <w:bookmarkEnd w:id="67"/>
      <w:bookmarkEnd w:id="68"/>
      <w:bookmarkEnd w:id="69"/>
    </w:p>
    <w:p>
      <w:pPr>
        <w:pStyle w:val="3"/>
        <w:keepNext w:val="0"/>
        <w:keepLines w:val="0"/>
        <w:widowControl/>
        <w:spacing w:before="0" w:beforeAutospacing="0" w:after="0" w:afterAutospacing="0" w:line="560" w:lineRule="exact"/>
        <w:jc w:val="center"/>
        <w:rPr>
          <w:rFonts w:ascii="Times New Roman" w:hAnsi="Times New Roman" w:eastAsia="方正小标宋简体"/>
          <w:b w:val="0"/>
          <w:spacing w:val="-11"/>
          <w:kern w:val="36"/>
          <w:szCs w:val="48"/>
        </w:rPr>
      </w:pPr>
      <w:bookmarkStart w:id="72" w:name="_Toc54690469"/>
      <w:bookmarkStart w:id="73" w:name="_Toc57646780"/>
      <w:bookmarkStart w:id="74" w:name="_Toc89958969"/>
      <w:r>
        <w:rPr>
          <w:rFonts w:hint="eastAsia" w:ascii="Times New Roman" w:hAnsi="Times New Roman" w:eastAsia="方正小标宋简体"/>
          <w:b w:val="0"/>
          <w:spacing w:val="-11"/>
          <w:kern w:val="36"/>
          <w:szCs w:val="48"/>
        </w:rPr>
        <w:t>第五章  实施保障</w:t>
      </w:r>
      <w:bookmarkEnd w:id="72"/>
      <w:bookmarkEnd w:id="73"/>
      <w:bookmarkEnd w:id="74"/>
    </w:p>
    <w:p>
      <w:pPr>
        <w:spacing w:before="260" w:after="260" w:line="580" w:lineRule="exact"/>
        <w:ind w:firstLine="643"/>
        <w:jc w:val="both"/>
        <w:outlineLvl w:val="1"/>
        <w:rPr>
          <w:rFonts w:ascii="黑体" w:hAnsi="黑体" w:eastAsia="黑体"/>
          <w:b/>
          <w:bCs/>
          <w:sz w:val="32"/>
          <w:szCs w:val="32"/>
          <w:lang w:val="en-US"/>
        </w:rPr>
      </w:pPr>
      <w:bookmarkStart w:id="75" w:name="_Toc89958970"/>
      <w:r>
        <w:rPr>
          <w:rFonts w:hint="eastAsia" w:ascii="黑体" w:hAnsi="黑体" w:eastAsia="黑体"/>
          <w:b/>
          <w:bCs/>
          <w:sz w:val="32"/>
          <w:szCs w:val="32"/>
          <w:lang w:val="en-US"/>
        </w:rPr>
        <w:t>一、加强组织领导</w:t>
      </w:r>
      <w:bookmarkEnd w:id="75"/>
    </w:p>
    <w:p>
      <w:pPr>
        <w:spacing w:line="580" w:lineRule="exact"/>
        <w:ind w:firstLine="640"/>
        <w:jc w:val="both"/>
        <w:rPr>
          <w:rFonts w:ascii="仿宋" w:hAnsi="仿宋" w:eastAsia="仿宋"/>
          <w:sz w:val="32"/>
          <w:szCs w:val="32"/>
        </w:rPr>
      </w:pPr>
      <w:r>
        <w:rPr>
          <w:rFonts w:hint="eastAsia" w:ascii="仿宋" w:hAnsi="仿宋" w:eastAsia="仿宋"/>
          <w:sz w:val="32"/>
          <w:szCs w:val="32"/>
        </w:rPr>
        <w:t>市政府将本规划的落实列入重要议事日程，推进本规划的实施。充分发挥市消防安全委员会的职能作用，定期召开消防工作联席会，加强本规划实施工作的统筹协调、组织领导，加强对消防重大问题的研究，调动各方力量，形成工作合力。将规划实施进展纳入各级政府、各职能部门消防工作责任制，落实</w:t>
      </w:r>
      <w:r>
        <w:rPr>
          <w:rFonts w:hint="eastAsia" w:ascii="仿宋" w:hAnsi="仿宋" w:eastAsia="仿宋"/>
          <w:sz w:val="32"/>
          <w:szCs w:val="32"/>
          <w:lang w:val="en-US"/>
        </w:rPr>
        <w:t>年度</w:t>
      </w:r>
      <w:r>
        <w:rPr>
          <w:rFonts w:hint="eastAsia" w:ascii="仿宋" w:hAnsi="仿宋" w:eastAsia="仿宋"/>
          <w:sz w:val="32"/>
          <w:szCs w:val="32"/>
        </w:rPr>
        <w:t>工作考评，推动规划落实。各</w:t>
      </w:r>
      <w:r>
        <w:rPr>
          <w:rFonts w:hint="eastAsia" w:ascii="仿宋" w:hAnsi="仿宋" w:eastAsia="仿宋"/>
          <w:sz w:val="32"/>
          <w:szCs w:val="32"/>
          <w:lang w:val="en-US"/>
        </w:rPr>
        <w:t>县（市、区）</w:t>
      </w:r>
      <w:r>
        <w:rPr>
          <w:rFonts w:hint="eastAsia" w:ascii="仿宋" w:hAnsi="仿宋" w:eastAsia="仿宋"/>
          <w:sz w:val="32"/>
          <w:szCs w:val="32"/>
        </w:rPr>
        <w:t>人民政府要结合实际，加强组织领导，全力推进“十四五”时期本地消防救援事业发展建设规划实施。</w:t>
      </w:r>
    </w:p>
    <w:p>
      <w:pPr>
        <w:spacing w:before="260" w:after="260" w:line="580" w:lineRule="exact"/>
        <w:ind w:firstLine="643"/>
        <w:jc w:val="both"/>
        <w:outlineLvl w:val="1"/>
        <w:rPr>
          <w:rFonts w:ascii="黑体" w:hAnsi="黑体" w:eastAsia="黑体"/>
          <w:b/>
          <w:bCs/>
          <w:sz w:val="32"/>
          <w:szCs w:val="32"/>
          <w:lang w:val="en-US"/>
        </w:rPr>
      </w:pPr>
      <w:bookmarkStart w:id="76" w:name="_Toc89958971"/>
      <w:r>
        <w:rPr>
          <w:rFonts w:hint="eastAsia" w:ascii="黑体" w:hAnsi="黑体" w:eastAsia="黑体"/>
          <w:b/>
          <w:bCs/>
          <w:sz w:val="32"/>
          <w:szCs w:val="32"/>
          <w:lang w:val="en-US"/>
        </w:rPr>
        <w:t>二、明确职责任务</w:t>
      </w:r>
      <w:bookmarkEnd w:id="76"/>
    </w:p>
    <w:p>
      <w:pPr>
        <w:spacing w:line="580" w:lineRule="exact"/>
        <w:ind w:firstLine="640"/>
        <w:jc w:val="both"/>
        <w:rPr>
          <w:rFonts w:ascii="仿宋" w:hAnsi="仿宋" w:eastAsia="仿宋"/>
          <w:sz w:val="32"/>
          <w:szCs w:val="32"/>
        </w:rPr>
      </w:pPr>
      <w:r>
        <w:rPr>
          <w:rFonts w:hint="eastAsia" w:ascii="仿宋" w:hAnsi="仿宋" w:eastAsia="仿宋"/>
          <w:sz w:val="32"/>
          <w:szCs w:val="32"/>
        </w:rPr>
        <w:t>各相关政府职能部门要按照职责任务，各负其责、齐抓共管，推动规划具体工作落实，协调解决规划在实施过程中的有关问题，推动工程项目建设。市消防救援支队统筹协调推动本规划实施；市发展和改革委员会加快权限内消防基础设施建设项目的审批并下达投资计划；市自然资源和规划局为消防救援站等项目做好空间规划，预留规划建设用地，建立规划审批时同步配套建设消防站等基础设施工作机制，保障消防站建设落地；各县（市、区）人民政府要落实本规划确定的消防站、消防指挥中心等消防基础设施建设主体责任，完成消防站、消防指挥中心等消防基础设施建设用地拆迁以及市政条件提供，协调办理消防站、消防指挥中心等消防基础设施建设所需各种手续，加快建设步伐。</w:t>
      </w:r>
    </w:p>
    <w:p>
      <w:pPr>
        <w:spacing w:before="260" w:after="260" w:line="580" w:lineRule="exact"/>
        <w:ind w:firstLine="643"/>
        <w:jc w:val="both"/>
        <w:outlineLvl w:val="1"/>
        <w:rPr>
          <w:rFonts w:ascii="黑体" w:hAnsi="黑体" w:eastAsia="黑体"/>
          <w:b/>
          <w:bCs/>
          <w:sz w:val="32"/>
          <w:szCs w:val="32"/>
          <w:lang w:val="en-US"/>
        </w:rPr>
      </w:pPr>
      <w:bookmarkStart w:id="77" w:name="_Toc89958972"/>
      <w:r>
        <w:rPr>
          <w:rFonts w:hint="eastAsia" w:ascii="黑体" w:hAnsi="黑体" w:eastAsia="黑体"/>
          <w:b/>
          <w:bCs/>
          <w:sz w:val="32"/>
          <w:szCs w:val="32"/>
          <w:lang w:val="en-US"/>
        </w:rPr>
        <w:t>三、强化政策保障</w:t>
      </w:r>
      <w:bookmarkEnd w:id="77"/>
    </w:p>
    <w:p>
      <w:pPr>
        <w:spacing w:line="580" w:lineRule="exact"/>
        <w:ind w:firstLine="640"/>
        <w:jc w:val="both"/>
        <w:rPr>
          <w:rFonts w:ascii="仿宋" w:hAnsi="仿宋" w:eastAsia="仿宋"/>
          <w:sz w:val="32"/>
          <w:szCs w:val="32"/>
        </w:rPr>
      </w:pPr>
      <w:r>
        <w:rPr>
          <w:rFonts w:hint="eastAsia" w:ascii="仿宋" w:hAnsi="仿宋" w:eastAsia="仿宋"/>
          <w:sz w:val="32"/>
          <w:szCs w:val="32"/>
        </w:rPr>
        <w:t>市政府相关职能部门和</w:t>
      </w:r>
      <w:r>
        <w:rPr>
          <w:rFonts w:hint="eastAsia" w:ascii="仿宋" w:hAnsi="仿宋" w:eastAsia="仿宋"/>
          <w:sz w:val="32"/>
          <w:szCs w:val="32"/>
          <w:lang w:val="en-US"/>
        </w:rPr>
        <w:t>各</w:t>
      </w:r>
      <w:r>
        <w:rPr>
          <w:rFonts w:hint="eastAsia" w:ascii="仿宋" w:hAnsi="仿宋" w:eastAsia="仿宋"/>
          <w:sz w:val="32"/>
          <w:szCs w:val="32"/>
        </w:rPr>
        <w:t>县（</w:t>
      </w:r>
      <w:r>
        <w:rPr>
          <w:rFonts w:hint="eastAsia" w:ascii="仿宋" w:hAnsi="仿宋" w:eastAsia="仿宋"/>
          <w:sz w:val="32"/>
          <w:szCs w:val="32"/>
          <w:lang w:val="en-US"/>
        </w:rPr>
        <w:t>市、区</w:t>
      </w:r>
      <w:r>
        <w:rPr>
          <w:rFonts w:hint="eastAsia" w:ascii="仿宋" w:hAnsi="仿宋" w:eastAsia="仿宋"/>
          <w:sz w:val="32"/>
          <w:szCs w:val="32"/>
        </w:rPr>
        <w:t>）政府要加强资金保障力度，将消防工作经费纳入各级政府预算，在资金上保障本规划的实施，使消防规划落到实处。建立保障规划实施的政策体系，制定相应政策，吸引城市建设资金，多渠道筹集落实经费，增加消防规划建设投资渠道。市政府相关职能部门要在法规、政策方面予以支持，同步出台相配套的规划、标准规范和管理规定，研究解决规划实施过程中遇到的突出问题，确保本规划任务有效执行。全市要通过多种形式和渠道，加强对规划的宣传，增强公众对规划和消防工作的认识和了解，引导发动公众参与规划的实施和监督，形成关心、支持、参与规划实施的浓厚氛围，推进规划落到实处。</w:t>
      </w:r>
    </w:p>
    <w:p>
      <w:pPr>
        <w:spacing w:line="580" w:lineRule="exact"/>
        <w:ind w:firstLine="640"/>
        <w:jc w:val="both"/>
        <w:rPr>
          <w:rFonts w:ascii="仿宋" w:hAnsi="仿宋" w:eastAsia="仿宋"/>
          <w:sz w:val="32"/>
          <w:szCs w:val="32"/>
        </w:rPr>
      </w:pPr>
    </w:p>
    <w:p>
      <w:pPr>
        <w:spacing w:line="600" w:lineRule="exact"/>
        <w:ind w:firstLine="640"/>
        <w:jc w:val="both"/>
        <w:rPr>
          <w:rFonts w:ascii="仿宋" w:hAnsi="仿宋" w:eastAsia="仿宋"/>
          <w:sz w:val="32"/>
          <w:szCs w:val="32"/>
        </w:rPr>
      </w:pPr>
    </w:p>
    <w:p>
      <w:pPr>
        <w:spacing w:line="600" w:lineRule="exact"/>
        <w:ind w:firstLine="640"/>
        <w:jc w:val="both"/>
        <w:rPr>
          <w:rFonts w:ascii="仿宋" w:hAnsi="仿宋" w:eastAsia="仿宋"/>
          <w:sz w:val="32"/>
          <w:szCs w:val="32"/>
        </w:rPr>
      </w:pPr>
    </w:p>
    <w:p>
      <w:pPr>
        <w:spacing w:line="600" w:lineRule="exact"/>
        <w:ind w:firstLine="640"/>
        <w:jc w:val="both"/>
        <w:rPr>
          <w:rFonts w:ascii="仿宋" w:hAnsi="仿宋" w:eastAsia="仿宋"/>
          <w:sz w:val="32"/>
          <w:szCs w:val="32"/>
        </w:rPr>
      </w:pPr>
    </w:p>
    <w:p>
      <w:pPr>
        <w:spacing w:line="600" w:lineRule="exact"/>
        <w:ind w:firstLine="640"/>
        <w:jc w:val="both"/>
        <w:rPr>
          <w:rFonts w:ascii="仿宋" w:hAnsi="仿宋" w:eastAsia="仿宋"/>
          <w:sz w:val="32"/>
          <w:szCs w:val="32"/>
        </w:rPr>
      </w:pPr>
    </w:p>
    <w:p>
      <w:pPr>
        <w:pStyle w:val="2"/>
        <w:ind w:left="560" w:firstLine="640"/>
        <w:rPr>
          <w:rFonts w:ascii="仿宋" w:hAnsi="仿宋" w:eastAsia="仿宋"/>
          <w:sz w:val="32"/>
          <w:szCs w:val="32"/>
        </w:rPr>
      </w:pPr>
    </w:p>
    <w:p>
      <w:pPr>
        <w:ind w:firstLine="640"/>
        <w:rPr>
          <w:rFonts w:ascii="仿宋" w:hAnsi="仿宋" w:eastAsia="仿宋"/>
          <w:sz w:val="32"/>
          <w:szCs w:val="32"/>
        </w:rPr>
      </w:pPr>
    </w:p>
    <w:p>
      <w:pPr>
        <w:pStyle w:val="2"/>
        <w:ind w:left="560" w:firstLine="640"/>
        <w:rPr>
          <w:rFonts w:ascii="仿宋" w:hAnsi="仿宋" w:eastAsia="仿宋"/>
          <w:sz w:val="32"/>
          <w:szCs w:val="32"/>
        </w:rPr>
      </w:pPr>
    </w:p>
    <w:p>
      <w:pPr>
        <w:pStyle w:val="3"/>
        <w:jc w:val="center"/>
        <w:rPr>
          <w:rFonts w:ascii="黑体" w:hAnsi="黑体" w:eastAsia="黑体"/>
          <w:sz w:val="32"/>
          <w:szCs w:val="32"/>
        </w:rPr>
      </w:pPr>
      <w:bookmarkStart w:id="78" w:name="_Toc89958973"/>
      <w:r>
        <w:rPr>
          <w:rFonts w:hint="eastAsia" w:ascii="黑体" w:hAnsi="黑体" w:eastAsia="黑体"/>
          <w:sz w:val="32"/>
          <w:szCs w:val="32"/>
        </w:rPr>
        <w:t>附件一：编制依据</w:t>
      </w:r>
      <w:bookmarkEnd w:id="78"/>
    </w:p>
    <w:p>
      <w:pPr>
        <w:spacing w:line="600" w:lineRule="exact"/>
        <w:ind w:firstLine="0" w:firstLineChars="0"/>
        <w:jc w:val="both"/>
        <w:rPr>
          <w:rFonts w:ascii="仿宋" w:hAnsi="仿宋" w:eastAsia="仿宋" w:cs="黑体"/>
          <w:sz w:val="32"/>
          <w:szCs w:val="32"/>
          <w:lang w:val="en-US"/>
        </w:rPr>
      </w:pPr>
      <w:r>
        <w:rPr>
          <w:rFonts w:hint="eastAsia" w:ascii="仿宋" w:hAnsi="仿宋" w:eastAsia="仿宋" w:cs="黑体"/>
          <w:sz w:val="32"/>
          <w:szCs w:val="32"/>
          <w:lang w:val="en-US"/>
        </w:rPr>
        <w:t>1</w:t>
      </w:r>
      <w:r>
        <w:rPr>
          <w:rFonts w:ascii="仿宋" w:hAnsi="仿宋" w:eastAsia="仿宋" w:cs="黑体"/>
          <w:sz w:val="32"/>
          <w:szCs w:val="32"/>
          <w:lang w:val="en-US"/>
        </w:rPr>
        <w:t>.</w:t>
      </w:r>
      <w:r>
        <w:rPr>
          <w:rFonts w:hint="eastAsia" w:ascii="仿宋" w:hAnsi="仿宋" w:eastAsia="仿宋" w:cs="黑体"/>
          <w:sz w:val="32"/>
          <w:szCs w:val="32"/>
          <w:lang w:val="en-US"/>
        </w:rPr>
        <w:t>《中华人民共和国消防法》(20</w:t>
      </w:r>
      <w:r>
        <w:rPr>
          <w:rFonts w:ascii="仿宋" w:hAnsi="仿宋" w:eastAsia="仿宋" w:cs="黑体"/>
          <w:sz w:val="32"/>
          <w:szCs w:val="32"/>
          <w:lang w:val="en-US"/>
        </w:rPr>
        <w:t>21</w:t>
      </w:r>
      <w:r>
        <w:rPr>
          <w:rFonts w:hint="eastAsia" w:ascii="仿宋" w:hAnsi="仿宋" w:eastAsia="仿宋" w:cs="黑体"/>
          <w:sz w:val="32"/>
          <w:szCs w:val="32"/>
          <w:lang w:val="en-US"/>
        </w:rPr>
        <w:t>修正)</w:t>
      </w:r>
    </w:p>
    <w:p>
      <w:pPr>
        <w:spacing w:line="600" w:lineRule="exact"/>
        <w:ind w:firstLine="0" w:firstLineChars="0"/>
        <w:jc w:val="both"/>
        <w:rPr>
          <w:rFonts w:ascii="仿宋" w:hAnsi="仿宋" w:eastAsia="仿宋" w:cs="黑体"/>
          <w:sz w:val="32"/>
          <w:szCs w:val="32"/>
          <w:lang w:val="en-US"/>
        </w:rPr>
      </w:pPr>
      <w:r>
        <w:rPr>
          <w:rFonts w:hint="eastAsia" w:ascii="仿宋" w:hAnsi="仿宋" w:eastAsia="仿宋" w:cs="黑体"/>
          <w:sz w:val="32"/>
          <w:szCs w:val="32"/>
          <w:lang w:val="en-US"/>
        </w:rPr>
        <w:t>2</w:t>
      </w:r>
      <w:r>
        <w:rPr>
          <w:rFonts w:ascii="仿宋" w:hAnsi="仿宋" w:eastAsia="仿宋" w:cs="黑体"/>
          <w:sz w:val="32"/>
          <w:szCs w:val="32"/>
          <w:lang w:val="en-US"/>
        </w:rPr>
        <w:t>.</w:t>
      </w:r>
      <w:r>
        <w:rPr>
          <w:rFonts w:hint="eastAsia" w:ascii="仿宋" w:hAnsi="仿宋" w:eastAsia="仿宋" w:cs="黑体"/>
          <w:sz w:val="32"/>
          <w:szCs w:val="32"/>
          <w:lang w:val="en-US"/>
        </w:rPr>
        <w:t>《中华人民共和国城乡规划法》(2019新修订)</w:t>
      </w:r>
    </w:p>
    <w:p>
      <w:pPr>
        <w:spacing w:line="600" w:lineRule="exact"/>
        <w:ind w:firstLine="0" w:firstLineChars="0"/>
        <w:jc w:val="both"/>
        <w:rPr>
          <w:rFonts w:ascii="仿宋" w:hAnsi="仿宋" w:eastAsia="仿宋" w:cs="黑体"/>
          <w:sz w:val="32"/>
          <w:szCs w:val="32"/>
          <w:lang w:val="en-US"/>
        </w:rPr>
      </w:pPr>
      <w:r>
        <w:rPr>
          <w:rFonts w:ascii="仿宋" w:hAnsi="仿宋" w:eastAsia="仿宋" w:cs="黑体"/>
          <w:sz w:val="32"/>
          <w:szCs w:val="32"/>
          <w:lang w:val="en-US"/>
        </w:rPr>
        <w:t>3.</w:t>
      </w:r>
      <w:r>
        <w:rPr>
          <w:rFonts w:hint="eastAsia" w:ascii="仿宋" w:hAnsi="仿宋" w:eastAsia="仿宋" w:cs="黑体"/>
          <w:sz w:val="32"/>
          <w:szCs w:val="32"/>
          <w:lang w:val="en-US"/>
        </w:rPr>
        <w:t>《中华人民共和国国民经济和社会发展第十四个五年规划和二〇三五年远景目标纲要》</w:t>
      </w:r>
    </w:p>
    <w:p>
      <w:pPr>
        <w:spacing w:line="600" w:lineRule="exact"/>
        <w:ind w:firstLine="0" w:firstLineChars="0"/>
        <w:jc w:val="both"/>
        <w:rPr>
          <w:rFonts w:ascii="仿宋" w:hAnsi="仿宋" w:eastAsia="仿宋" w:cs="黑体"/>
          <w:sz w:val="32"/>
          <w:szCs w:val="32"/>
          <w:lang w:val="en-US"/>
        </w:rPr>
      </w:pPr>
      <w:r>
        <w:rPr>
          <w:rFonts w:ascii="仿宋" w:hAnsi="仿宋" w:eastAsia="仿宋" w:cs="黑体"/>
          <w:sz w:val="32"/>
          <w:szCs w:val="32"/>
          <w:lang w:val="en-US"/>
        </w:rPr>
        <w:t>4</w:t>
      </w:r>
      <w:r>
        <w:rPr>
          <w:rFonts w:hint="eastAsia" w:ascii="仿宋" w:hAnsi="仿宋" w:eastAsia="仿宋" w:cs="黑体"/>
          <w:sz w:val="32"/>
          <w:szCs w:val="32"/>
          <w:lang w:val="en-US"/>
        </w:rPr>
        <w:t>.中共中央办公厅、国务院办公厅《关于深化消防执法改革的意见》(厅字[2019]34号)</w:t>
      </w:r>
    </w:p>
    <w:p>
      <w:pPr>
        <w:spacing w:line="600" w:lineRule="exact"/>
        <w:ind w:firstLine="0" w:firstLineChars="0"/>
        <w:jc w:val="both"/>
        <w:rPr>
          <w:rFonts w:ascii="仿宋" w:hAnsi="仿宋" w:eastAsia="仿宋" w:cs="黑体"/>
          <w:sz w:val="32"/>
          <w:szCs w:val="32"/>
          <w:lang w:val="en-US"/>
        </w:rPr>
      </w:pPr>
      <w:r>
        <w:rPr>
          <w:rFonts w:ascii="仿宋" w:hAnsi="仿宋" w:eastAsia="仿宋" w:cs="黑体"/>
          <w:sz w:val="32"/>
          <w:szCs w:val="32"/>
          <w:lang w:val="en-US"/>
        </w:rPr>
        <w:t>5</w:t>
      </w:r>
      <w:r>
        <w:rPr>
          <w:rFonts w:hint="eastAsia" w:ascii="仿宋" w:hAnsi="仿宋" w:eastAsia="仿宋" w:cs="黑体"/>
          <w:sz w:val="32"/>
          <w:szCs w:val="32"/>
          <w:lang w:val="en-US"/>
        </w:rPr>
        <w:t>.中共中央办公厅、国务院办公厅《消防安全责任制实施办法》(国办发[2017]87号)</w:t>
      </w:r>
    </w:p>
    <w:p>
      <w:pPr>
        <w:spacing w:line="600" w:lineRule="exact"/>
        <w:ind w:firstLine="0" w:firstLineChars="0"/>
        <w:jc w:val="both"/>
        <w:rPr>
          <w:rFonts w:ascii="仿宋" w:hAnsi="仿宋" w:eastAsia="仿宋" w:cs="黑体"/>
          <w:sz w:val="32"/>
          <w:szCs w:val="32"/>
          <w:lang w:val="en-US"/>
        </w:rPr>
      </w:pPr>
      <w:r>
        <w:rPr>
          <w:rFonts w:ascii="仿宋" w:hAnsi="仿宋" w:eastAsia="仿宋" w:cs="黑体"/>
          <w:sz w:val="32"/>
          <w:szCs w:val="32"/>
          <w:lang w:val="en-US"/>
        </w:rPr>
        <w:t>6.</w:t>
      </w:r>
      <w:r>
        <w:rPr>
          <w:rFonts w:hint="eastAsia" w:ascii="仿宋" w:hAnsi="仿宋" w:eastAsia="仿宋" w:cs="黑体"/>
          <w:sz w:val="32"/>
          <w:szCs w:val="32"/>
          <w:lang w:val="en-US"/>
        </w:rPr>
        <w:t>《中央编办关于印发应急管理部消防救援局、森林消防局“三定”规定和消防救援队伍、森林消防队伍总队及以下单位机构编制方案的通知》（中央编办发[2019]231号）</w:t>
      </w:r>
    </w:p>
    <w:p>
      <w:pPr>
        <w:spacing w:line="600" w:lineRule="exact"/>
        <w:ind w:firstLine="0" w:firstLineChars="0"/>
        <w:jc w:val="both"/>
        <w:rPr>
          <w:rFonts w:ascii="仿宋" w:hAnsi="仿宋" w:eastAsia="仿宋" w:cs="黑体"/>
          <w:sz w:val="32"/>
          <w:szCs w:val="32"/>
          <w:lang w:val="en-US"/>
        </w:rPr>
      </w:pPr>
      <w:r>
        <w:rPr>
          <w:rFonts w:ascii="仿宋" w:hAnsi="仿宋" w:eastAsia="仿宋" w:cs="黑体"/>
          <w:sz w:val="32"/>
          <w:szCs w:val="32"/>
          <w:lang w:val="en-US"/>
        </w:rPr>
        <w:t>7.</w:t>
      </w:r>
      <w:r>
        <w:rPr>
          <w:rFonts w:hint="eastAsia" w:ascii="仿宋" w:hAnsi="仿宋" w:eastAsia="仿宋" w:cs="黑体"/>
          <w:sz w:val="32"/>
          <w:szCs w:val="32"/>
          <w:lang w:val="en-US"/>
        </w:rPr>
        <w:t>中国共产党中央委员会宣传部、中华人民共和国公安部、教育部、民政部、文化和旅游部、卫生健康委员会、国家广播电视总局、应急管理部</w:t>
      </w:r>
      <w:r>
        <w:rPr>
          <w:rFonts w:ascii="仿宋" w:hAnsi="仿宋" w:eastAsia="仿宋" w:cs="黑体"/>
          <w:sz w:val="32"/>
          <w:szCs w:val="32"/>
          <w:lang w:val="en-US"/>
        </w:rPr>
        <w:t>《全民消防安全宣传教育纲要》</w:t>
      </w:r>
    </w:p>
    <w:p>
      <w:pPr>
        <w:spacing w:line="600" w:lineRule="exact"/>
        <w:ind w:firstLine="0" w:firstLineChars="0"/>
        <w:jc w:val="both"/>
        <w:rPr>
          <w:rFonts w:ascii="仿宋" w:hAnsi="仿宋" w:eastAsia="仿宋" w:cs="黑体"/>
          <w:sz w:val="32"/>
          <w:szCs w:val="32"/>
          <w:lang w:val="en-US"/>
        </w:rPr>
      </w:pPr>
      <w:r>
        <w:rPr>
          <w:rFonts w:hint="eastAsia" w:ascii="仿宋" w:hAnsi="仿宋" w:eastAsia="仿宋" w:cs="黑体"/>
          <w:sz w:val="32"/>
          <w:szCs w:val="32"/>
          <w:lang w:val="en-US"/>
        </w:rPr>
        <w:t>8.应急管理部《“十四五”国家应急体系规划》</w:t>
      </w:r>
    </w:p>
    <w:p>
      <w:pPr>
        <w:spacing w:line="600" w:lineRule="exact"/>
        <w:ind w:firstLine="0" w:firstLineChars="0"/>
        <w:jc w:val="both"/>
        <w:rPr>
          <w:rFonts w:ascii="仿宋" w:hAnsi="仿宋" w:eastAsia="仿宋" w:cs="黑体"/>
          <w:sz w:val="32"/>
          <w:szCs w:val="32"/>
          <w:lang w:val="en-US"/>
        </w:rPr>
      </w:pPr>
      <w:r>
        <w:rPr>
          <w:rFonts w:hint="eastAsia" w:ascii="仿宋" w:hAnsi="仿宋" w:eastAsia="仿宋" w:cs="黑体"/>
          <w:sz w:val="32"/>
          <w:szCs w:val="32"/>
          <w:lang w:val="en-US"/>
        </w:rPr>
        <w:t>9</w:t>
      </w:r>
      <w:r>
        <w:rPr>
          <w:rFonts w:ascii="仿宋" w:hAnsi="仿宋" w:eastAsia="仿宋" w:cs="黑体"/>
          <w:sz w:val="32"/>
          <w:szCs w:val="32"/>
          <w:lang w:val="en-US"/>
        </w:rPr>
        <w:t>.</w:t>
      </w:r>
      <w:r>
        <w:rPr>
          <w:rFonts w:hint="eastAsia" w:ascii="仿宋" w:hAnsi="仿宋" w:eastAsia="仿宋" w:cs="黑体"/>
          <w:sz w:val="32"/>
          <w:szCs w:val="32"/>
          <w:lang w:val="en-US"/>
        </w:rPr>
        <w:t>应急管理部消防救援局《重大灾害应急通信保障工作要点》(应急消[</w:t>
      </w:r>
      <w:r>
        <w:rPr>
          <w:rFonts w:ascii="仿宋" w:hAnsi="仿宋" w:eastAsia="仿宋" w:cs="黑体"/>
          <w:sz w:val="32"/>
          <w:szCs w:val="32"/>
          <w:lang w:val="en-US"/>
        </w:rPr>
        <w:t>2018</w:t>
      </w:r>
      <w:r>
        <w:rPr>
          <w:rFonts w:hint="eastAsia" w:ascii="仿宋" w:hAnsi="仿宋" w:eastAsia="仿宋" w:cs="黑体"/>
          <w:sz w:val="32"/>
          <w:szCs w:val="32"/>
          <w:lang w:val="en-US"/>
        </w:rPr>
        <w:t>]</w:t>
      </w:r>
      <w:r>
        <w:rPr>
          <w:rFonts w:ascii="仿宋" w:hAnsi="仿宋" w:eastAsia="仿宋" w:cs="黑体"/>
          <w:sz w:val="32"/>
          <w:szCs w:val="32"/>
          <w:lang w:val="en-US"/>
        </w:rPr>
        <w:t>32</w:t>
      </w:r>
      <w:r>
        <w:rPr>
          <w:rFonts w:hint="eastAsia" w:ascii="仿宋" w:hAnsi="仿宋" w:eastAsia="仿宋" w:cs="黑体"/>
          <w:sz w:val="32"/>
          <w:szCs w:val="32"/>
          <w:lang w:val="en-US"/>
        </w:rPr>
        <w:t>号)</w:t>
      </w:r>
    </w:p>
    <w:p>
      <w:pPr>
        <w:spacing w:line="600" w:lineRule="exact"/>
        <w:ind w:firstLine="0" w:firstLineChars="0"/>
        <w:jc w:val="both"/>
        <w:rPr>
          <w:rFonts w:ascii="仿宋" w:hAnsi="仿宋" w:eastAsia="仿宋" w:cs="黑体"/>
          <w:sz w:val="32"/>
          <w:szCs w:val="32"/>
          <w:lang w:val="en-US"/>
        </w:rPr>
      </w:pPr>
      <w:r>
        <w:rPr>
          <w:rFonts w:ascii="仿宋" w:hAnsi="仿宋" w:eastAsia="仿宋" w:cs="黑体"/>
          <w:sz w:val="32"/>
          <w:szCs w:val="32"/>
          <w:lang w:val="en-US"/>
        </w:rPr>
        <w:t>10</w:t>
      </w:r>
      <w:r>
        <w:rPr>
          <w:rFonts w:hint="eastAsia" w:ascii="仿宋" w:hAnsi="仿宋" w:eastAsia="仿宋" w:cs="黑体"/>
          <w:sz w:val="32"/>
          <w:szCs w:val="32"/>
          <w:lang w:val="en-US"/>
        </w:rPr>
        <w:t>.中华人民共和国住房和城乡建设部、中华人民共和国公安部《城市消防规划规范》(GB51080-2015)</w:t>
      </w:r>
    </w:p>
    <w:p>
      <w:pPr>
        <w:spacing w:line="600" w:lineRule="exact"/>
        <w:ind w:firstLine="0" w:firstLineChars="0"/>
        <w:jc w:val="both"/>
        <w:rPr>
          <w:rFonts w:ascii="仿宋" w:hAnsi="仿宋" w:eastAsia="仿宋" w:cs="黑体"/>
          <w:sz w:val="32"/>
          <w:szCs w:val="32"/>
          <w:lang w:val="en-US"/>
        </w:rPr>
      </w:pPr>
      <w:r>
        <w:rPr>
          <w:rFonts w:ascii="仿宋" w:hAnsi="仿宋" w:eastAsia="仿宋" w:cs="黑体"/>
          <w:sz w:val="32"/>
          <w:szCs w:val="32"/>
          <w:lang w:val="en-US"/>
        </w:rPr>
        <w:t>11</w:t>
      </w:r>
      <w:r>
        <w:rPr>
          <w:rFonts w:hint="eastAsia" w:ascii="仿宋" w:hAnsi="仿宋" w:eastAsia="仿宋" w:cs="黑体"/>
          <w:sz w:val="32"/>
          <w:szCs w:val="32"/>
          <w:lang w:val="en-US"/>
        </w:rPr>
        <w:t>.中华人民共和国住房和城乡建设部、中华人民共和国公安部《城市消防站建设标准》(建标152-2017)</w:t>
      </w:r>
    </w:p>
    <w:p>
      <w:pPr>
        <w:spacing w:line="600" w:lineRule="exact"/>
        <w:ind w:firstLine="0" w:firstLineChars="0"/>
        <w:jc w:val="both"/>
        <w:rPr>
          <w:rFonts w:ascii="仿宋" w:hAnsi="仿宋" w:eastAsia="仿宋" w:cs="黑体"/>
          <w:sz w:val="32"/>
          <w:szCs w:val="32"/>
          <w:lang w:val="en-US"/>
        </w:rPr>
      </w:pPr>
      <w:r>
        <w:rPr>
          <w:rFonts w:ascii="仿宋" w:hAnsi="仿宋" w:eastAsia="仿宋" w:cs="黑体"/>
          <w:sz w:val="32"/>
          <w:szCs w:val="32"/>
          <w:lang w:val="en-US"/>
        </w:rPr>
        <w:t>12.</w:t>
      </w:r>
      <w:r>
        <w:rPr>
          <w:rFonts w:hint="eastAsia" w:ascii="仿宋" w:hAnsi="仿宋" w:eastAsia="仿宋" w:cs="黑体"/>
          <w:sz w:val="32"/>
          <w:szCs w:val="32"/>
          <w:lang w:val="en-US"/>
        </w:rPr>
        <w:t>中华人民共和国国家标准《危险化学品重大危险源辨识》(GB18218-2018)</w:t>
      </w:r>
    </w:p>
    <w:p>
      <w:pPr>
        <w:spacing w:line="600" w:lineRule="exact"/>
        <w:ind w:firstLine="0" w:firstLineChars="0"/>
        <w:jc w:val="both"/>
        <w:rPr>
          <w:rFonts w:ascii="仿宋" w:hAnsi="仿宋" w:eastAsia="仿宋" w:cs="黑体"/>
          <w:sz w:val="32"/>
          <w:szCs w:val="32"/>
          <w:lang w:val="en-US"/>
        </w:rPr>
      </w:pPr>
      <w:r>
        <w:rPr>
          <w:rFonts w:hint="eastAsia" w:ascii="仿宋" w:hAnsi="仿宋" w:eastAsia="仿宋" w:cs="黑体"/>
          <w:sz w:val="32"/>
          <w:szCs w:val="32"/>
          <w:lang w:val="en-US"/>
        </w:rPr>
        <w:t>1</w:t>
      </w:r>
      <w:r>
        <w:rPr>
          <w:rFonts w:ascii="仿宋" w:hAnsi="仿宋" w:eastAsia="仿宋" w:cs="黑体"/>
          <w:sz w:val="32"/>
          <w:szCs w:val="32"/>
          <w:lang w:val="en-US"/>
        </w:rPr>
        <w:t>3.</w:t>
      </w:r>
      <w:r>
        <w:rPr>
          <w:rFonts w:hint="eastAsia" w:ascii="仿宋" w:hAnsi="仿宋" w:eastAsia="仿宋" w:cs="黑体"/>
          <w:sz w:val="32"/>
          <w:szCs w:val="32"/>
          <w:lang w:val="en-US"/>
        </w:rPr>
        <w:t>应急管理部消防救援局《乡镇消防队》(</w:t>
      </w:r>
      <w:r>
        <w:rPr>
          <w:rFonts w:ascii="仿宋" w:hAnsi="仿宋" w:eastAsia="仿宋" w:cs="黑体"/>
          <w:sz w:val="32"/>
          <w:szCs w:val="32"/>
          <w:lang w:val="en-US"/>
        </w:rPr>
        <w:t>GB/T 35547-2017)</w:t>
      </w:r>
    </w:p>
    <w:p>
      <w:pPr>
        <w:spacing w:line="600" w:lineRule="exact"/>
        <w:ind w:firstLine="0" w:firstLineChars="0"/>
        <w:jc w:val="both"/>
        <w:rPr>
          <w:rFonts w:ascii="仿宋" w:hAnsi="仿宋" w:eastAsia="仿宋" w:cs="黑体"/>
          <w:sz w:val="32"/>
          <w:szCs w:val="32"/>
          <w:lang w:val="en-US"/>
        </w:rPr>
      </w:pPr>
      <w:r>
        <w:rPr>
          <w:rFonts w:ascii="仿宋" w:hAnsi="仿宋" w:eastAsia="仿宋" w:cs="黑体"/>
          <w:sz w:val="32"/>
          <w:szCs w:val="32"/>
          <w:lang w:val="en-US"/>
        </w:rPr>
        <w:t>14.</w:t>
      </w:r>
      <w:r>
        <w:rPr>
          <w:rFonts w:hint="eastAsia" w:ascii="仿宋" w:hAnsi="仿宋" w:eastAsia="仿宋" w:cs="黑体"/>
          <w:sz w:val="32"/>
          <w:szCs w:val="32"/>
          <w:lang w:val="en-US"/>
        </w:rPr>
        <w:t>《安徽省消防安全责任制规定》（安徽省人民政府令第282号）</w:t>
      </w:r>
    </w:p>
    <w:p>
      <w:pPr>
        <w:spacing w:line="600" w:lineRule="exact"/>
        <w:ind w:firstLine="0" w:firstLineChars="0"/>
        <w:jc w:val="both"/>
        <w:rPr>
          <w:rFonts w:ascii="仿宋" w:hAnsi="仿宋" w:eastAsia="仿宋" w:cs="黑体"/>
          <w:sz w:val="32"/>
          <w:szCs w:val="32"/>
          <w:lang w:val="en-US"/>
        </w:rPr>
      </w:pPr>
      <w:r>
        <w:rPr>
          <w:rFonts w:ascii="仿宋" w:hAnsi="仿宋" w:eastAsia="仿宋" w:cs="黑体"/>
          <w:sz w:val="32"/>
          <w:szCs w:val="32"/>
          <w:lang w:val="en-US"/>
        </w:rPr>
        <w:t>15</w:t>
      </w:r>
      <w:r>
        <w:rPr>
          <w:rFonts w:hint="eastAsia" w:ascii="仿宋" w:hAnsi="仿宋" w:eastAsia="仿宋" w:cs="黑体"/>
          <w:sz w:val="32"/>
          <w:szCs w:val="32"/>
          <w:lang w:val="en-US"/>
        </w:rPr>
        <w:t>.安徽省消防救援总队《全省消防救援队伍抗洪抢险排涝专业分队建设实施方案》(皖消[2020]121号)</w:t>
      </w:r>
    </w:p>
    <w:p>
      <w:pPr>
        <w:spacing w:line="600" w:lineRule="exact"/>
        <w:ind w:firstLine="0" w:firstLineChars="0"/>
        <w:jc w:val="both"/>
        <w:rPr>
          <w:rFonts w:ascii="仿宋" w:hAnsi="仿宋" w:eastAsia="仿宋" w:cs="黑体"/>
          <w:sz w:val="32"/>
          <w:szCs w:val="32"/>
          <w:lang w:val="en-US"/>
        </w:rPr>
      </w:pPr>
      <w:r>
        <w:rPr>
          <w:rFonts w:ascii="仿宋" w:hAnsi="仿宋" w:eastAsia="仿宋" w:cs="黑体"/>
          <w:sz w:val="32"/>
          <w:szCs w:val="32"/>
          <w:lang w:val="en-US"/>
        </w:rPr>
        <w:t>16</w:t>
      </w:r>
      <w:r>
        <w:rPr>
          <w:rFonts w:hint="eastAsia" w:ascii="仿宋" w:hAnsi="仿宋" w:eastAsia="仿宋" w:cs="黑体"/>
          <w:sz w:val="32"/>
          <w:szCs w:val="32"/>
          <w:lang w:val="en-US"/>
        </w:rPr>
        <w:t>.安徽省消防救援总队《全省消防救援队伍化工灭火救援编队建设实施方案》(皖消[2020]85号)</w:t>
      </w:r>
    </w:p>
    <w:p>
      <w:pPr>
        <w:spacing w:line="600" w:lineRule="exact"/>
        <w:ind w:firstLine="0" w:firstLineChars="0"/>
        <w:jc w:val="both"/>
        <w:rPr>
          <w:rFonts w:ascii="仿宋" w:hAnsi="仿宋" w:eastAsia="仿宋" w:cs="黑体"/>
          <w:sz w:val="32"/>
          <w:szCs w:val="32"/>
          <w:lang w:val="en-US"/>
        </w:rPr>
      </w:pPr>
      <w:r>
        <w:rPr>
          <w:rFonts w:ascii="仿宋" w:hAnsi="仿宋" w:eastAsia="仿宋" w:cs="黑体"/>
          <w:sz w:val="32"/>
          <w:szCs w:val="32"/>
          <w:lang w:val="en-US"/>
        </w:rPr>
        <w:t>17</w:t>
      </w:r>
      <w:r>
        <w:rPr>
          <w:rFonts w:hint="eastAsia" w:ascii="仿宋" w:hAnsi="仿宋" w:eastAsia="仿宋" w:cs="黑体"/>
          <w:sz w:val="32"/>
          <w:szCs w:val="32"/>
          <w:lang w:val="en-US"/>
        </w:rPr>
        <w:t xml:space="preserve">.安徽省消防救援总队《全省消防救援队伍抗洪抢险专业队伍建设实施方案》(皖消[2020]68号) </w:t>
      </w:r>
    </w:p>
    <w:p>
      <w:pPr>
        <w:spacing w:line="600" w:lineRule="exact"/>
        <w:ind w:firstLine="0" w:firstLineChars="0"/>
        <w:jc w:val="both"/>
        <w:rPr>
          <w:rFonts w:ascii="仿宋" w:hAnsi="仿宋" w:eastAsia="仿宋" w:cs="黑体"/>
          <w:sz w:val="32"/>
          <w:szCs w:val="32"/>
          <w:lang w:val="en-US"/>
        </w:rPr>
      </w:pPr>
      <w:r>
        <w:rPr>
          <w:rFonts w:ascii="仿宋" w:hAnsi="仿宋" w:eastAsia="仿宋" w:cs="黑体"/>
          <w:sz w:val="32"/>
          <w:szCs w:val="32"/>
          <w:lang w:val="en-US"/>
        </w:rPr>
        <w:t>18</w:t>
      </w:r>
      <w:r>
        <w:rPr>
          <w:rFonts w:hint="eastAsia" w:ascii="仿宋" w:hAnsi="仿宋" w:eastAsia="仿宋" w:cs="黑体"/>
          <w:sz w:val="32"/>
          <w:szCs w:val="32"/>
          <w:lang w:val="en-US"/>
        </w:rPr>
        <w:t>.安徽省数据资源管理局《关于印发加快推动“城市大脑”建设行动方案的通知》(皖数江[2020]3号)</w:t>
      </w:r>
    </w:p>
    <w:p>
      <w:pPr>
        <w:spacing w:line="600" w:lineRule="exact"/>
        <w:ind w:firstLine="0" w:firstLineChars="0"/>
        <w:jc w:val="both"/>
        <w:rPr>
          <w:rFonts w:ascii="仿宋" w:hAnsi="仿宋" w:eastAsia="仿宋" w:cs="黑体"/>
          <w:sz w:val="32"/>
          <w:szCs w:val="32"/>
          <w:lang w:val="en-US"/>
        </w:rPr>
      </w:pPr>
      <w:r>
        <w:rPr>
          <w:rFonts w:ascii="仿宋" w:hAnsi="仿宋" w:eastAsia="仿宋" w:cs="黑体"/>
          <w:sz w:val="32"/>
          <w:szCs w:val="32"/>
          <w:lang w:val="en-US"/>
        </w:rPr>
        <w:t>19.</w:t>
      </w:r>
      <w:r>
        <w:rPr>
          <w:rFonts w:hint="eastAsia" w:ascii="仿宋" w:hAnsi="仿宋" w:eastAsia="仿宋" w:cs="黑体"/>
          <w:sz w:val="32"/>
          <w:szCs w:val="32"/>
          <w:lang w:val="en-US"/>
        </w:rPr>
        <w:t>滁州市人民政府《滁州市国民经济和社会发展第十四个五年规划和二〇三五年远景目标纲要》</w:t>
      </w:r>
    </w:p>
    <w:p>
      <w:pPr>
        <w:spacing w:line="600" w:lineRule="exact"/>
        <w:ind w:firstLine="0" w:firstLineChars="0"/>
        <w:jc w:val="both"/>
        <w:rPr>
          <w:rFonts w:ascii="仿宋" w:hAnsi="仿宋" w:eastAsia="仿宋" w:cs="黑体"/>
          <w:sz w:val="32"/>
          <w:szCs w:val="32"/>
          <w:lang w:val="en-US"/>
        </w:rPr>
      </w:pPr>
      <w:r>
        <w:rPr>
          <w:rFonts w:ascii="仿宋" w:hAnsi="仿宋" w:eastAsia="仿宋" w:cs="黑体"/>
          <w:sz w:val="32"/>
          <w:szCs w:val="32"/>
          <w:lang w:val="en-US"/>
        </w:rPr>
        <w:t>20.</w:t>
      </w:r>
      <w:r>
        <w:rPr>
          <w:rFonts w:hint="eastAsia" w:ascii="仿宋" w:hAnsi="仿宋" w:eastAsia="仿宋" w:cs="黑体"/>
          <w:sz w:val="32"/>
          <w:szCs w:val="32"/>
          <w:lang w:val="en-US"/>
        </w:rPr>
        <w:t>滁州市人民政府《滁州市消防安全责任制实施办法》（滁州市人民政府令第28号)</w:t>
      </w:r>
    </w:p>
    <w:p>
      <w:pPr>
        <w:spacing w:line="600" w:lineRule="exact"/>
        <w:ind w:firstLine="0" w:firstLineChars="0"/>
        <w:jc w:val="both"/>
        <w:rPr>
          <w:rFonts w:ascii="仿宋" w:hAnsi="仿宋" w:eastAsia="仿宋" w:cs="黑体"/>
          <w:sz w:val="32"/>
          <w:szCs w:val="32"/>
          <w:lang w:val="en-US"/>
        </w:rPr>
        <w:sectPr>
          <w:footerReference r:id="rId13" w:type="default"/>
          <w:pgSz w:w="11906" w:h="16838"/>
          <w:pgMar w:top="1440" w:right="1797" w:bottom="1440" w:left="1797" w:header="680" w:footer="850" w:gutter="0"/>
          <w:pgNumType w:start="1"/>
          <w:cols w:space="425" w:num="1"/>
          <w:docGrid w:linePitch="381" w:charSpace="0"/>
        </w:sectPr>
      </w:pPr>
      <w:r>
        <w:rPr>
          <w:rFonts w:ascii="仿宋" w:hAnsi="仿宋" w:eastAsia="仿宋" w:cs="黑体"/>
          <w:sz w:val="32"/>
          <w:szCs w:val="32"/>
          <w:lang w:val="en-US"/>
        </w:rPr>
        <w:br w:type="page"/>
      </w:r>
    </w:p>
    <w:p>
      <w:pPr>
        <w:pStyle w:val="3"/>
        <w:jc w:val="center"/>
        <w:rPr>
          <w:rFonts w:ascii="黑体" w:hAnsi="黑体" w:eastAsia="黑体"/>
          <w:sz w:val="32"/>
          <w:szCs w:val="32"/>
        </w:rPr>
      </w:pPr>
      <w:bookmarkStart w:id="79" w:name="_Toc89958974"/>
      <w:r>
        <w:rPr>
          <w:rFonts w:hint="eastAsia" w:ascii="黑体" w:hAnsi="黑体" w:eastAsia="黑体"/>
          <w:sz w:val="32"/>
          <w:szCs w:val="32"/>
        </w:rPr>
        <w:t>附件二：至“十三五”末城市消防站建设情况</w:t>
      </w:r>
      <w:bookmarkEnd w:id="79"/>
    </w:p>
    <w:tbl>
      <w:tblPr>
        <w:tblStyle w:val="28"/>
        <w:tblW w:w="935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2379"/>
        <w:gridCol w:w="344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82" w:type="dxa"/>
            <w:vMerge w:val="restart"/>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color w:val="000000"/>
                <w:sz w:val="24"/>
                <w:szCs w:val="24"/>
                <w:lang w:val="en-US"/>
              </w:rPr>
            </w:pPr>
            <w:r>
              <w:rPr>
                <w:rFonts w:hint="eastAsia" w:ascii="仿宋" w:hAnsi="仿宋" w:eastAsia="仿宋" w:cs="宋体"/>
                <w:b/>
                <w:bCs/>
                <w:color w:val="000000"/>
                <w:sz w:val="24"/>
                <w:szCs w:val="24"/>
                <w:lang w:val="en-US"/>
              </w:rPr>
              <w:t>区域</w:t>
            </w:r>
          </w:p>
        </w:tc>
        <w:tc>
          <w:tcPr>
            <w:tcW w:w="2379" w:type="dxa"/>
            <w:vMerge w:val="restart"/>
            <w:shd w:val="clear" w:color="auto" w:fill="auto"/>
            <w:vAlign w:val="center"/>
          </w:tcPr>
          <w:p>
            <w:pPr>
              <w:widowControl/>
              <w:autoSpaceDE/>
              <w:autoSpaceDN/>
              <w:adjustRightInd/>
              <w:spacing w:line="240" w:lineRule="auto"/>
              <w:ind w:firstLine="0" w:firstLineChars="0"/>
              <w:jc w:val="center"/>
              <w:rPr>
                <w:rFonts w:ascii="仿宋" w:hAnsi="仿宋" w:eastAsia="仿宋" w:cs="宋体"/>
                <w:b/>
                <w:bCs/>
                <w:color w:val="000000"/>
                <w:sz w:val="24"/>
                <w:szCs w:val="24"/>
                <w:lang w:val="en-US"/>
              </w:rPr>
            </w:pPr>
            <w:r>
              <w:rPr>
                <w:rFonts w:hint="eastAsia" w:ascii="仿宋" w:hAnsi="仿宋" w:eastAsia="仿宋" w:cs="宋体"/>
                <w:b/>
                <w:bCs/>
                <w:color w:val="000000"/>
                <w:sz w:val="24"/>
                <w:szCs w:val="24"/>
                <w:lang w:val="en-US"/>
              </w:rPr>
              <w:t>消防站名称</w:t>
            </w:r>
          </w:p>
        </w:tc>
        <w:tc>
          <w:tcPr>
            <w:tcW w:w="3444" w:type="dxa"/>
            <w:vMerge w:val="restart"/>
            <w:shd w:val="clear" w:color="auto" w:fill="auto"/>
            <w:vAlign w:val="center"/>
          </w:tcPr>
          <w:p>
            <w:pPr>
              <w:widowControl/>
              <w:autoSpaceDE/>
              <w:autoSpaceDN/>
              <w:adjustRightInd/>
              <w:spacing w:line="240" w:lineRule="auto"/>
              <w:ind w:firstLine="0" w:firstLineChars="0"/>
              <w:jc w:val="center"/>
              <w:rPr>
                <w:rFonts w:ascii="仿宋" w:hAnsi="仿宋" w:eastAsia="仿宋" w:cs="宋体"/>
                <w:b/>
                <w:bCs/>
                <w:color w:val="000000"/>
                <w:sz w:val="24"/>
                <w:szCs w:val="24"/>
                <w:lang w:val="en-US"/>
              </w:rPr>
            </w:pPr>
            <w:r>
              <w:rPr>
                <w:rFonts w:hint="eastAsia" w:ascii="仿宋" w:hAnsi="仿宋" w:eastAsia="仿宋" w:cs="宋体"/>
                <w:b/>
                <w:bCs/>
                <w:color w:val="000000"/>
                <w:sz w:val="24"/>
                <w:szCs w:val="24"/>
                <w:lang w:val="en-US"/>
              </w:rPr>
              <w:t>地址</w:t>
            </w:r>
          </w:p>
        </w:tc>
        <w:tc>
          <w:tcPr>
            <w:tcW w:w="1134" w:type="dxa"/>
            <w:vMerge w:val="restart"/>
            <w:shd w:val="clear" w:color="auto" w:fill="auto"/>
            <w:vAlign w:val="center"/>
          </w:tcPr>
          <w:p>
            <w:pPr>
              <w:widowControl/>
              <w:autoSpaceDE/>
              <w:autoSpaceDN/>
              <w:adjustRightInd/>
              <w:spacing w:line="240" w:lineRule="auto"/>
              <w:ind w:firstLine="0" w:firstLineChars="0"/>
              <w:jc w:val="center"/>
              <w:rPr>
                <w:rFonts w:ascii="仿宋" w:hAnsi="仿宋" w:eastAsia="仿宋" w:cs="宋体"/>
                <w:b/>
                <w:bCs/>
                <w:color w:val="000000"/>
                <w:sz w:val="24"/>
                <w:szCs w:val="24"/>
                <w:lang w:val="en-US"/>
              </w:rPr>
            </w:pPr>
            <w:r>
              <w:rPr>
                <w:rFonts w:hint="eastAsia" w:ascii="仿宋" w:hAnsi="仿宋" w:eastAsia="仿宋" w:cs="宋体"/>
                <w:b/>
                <w:bCs/>
                <w:color w:val="000000"/>
                <w:sz w:val="24"/>
                <w:szCs w:val="24"/>
                <w:lang w:val="en-US"/>
              </w:rPr>
              <w:t>类别</w:t>
            </w:r>
          </w:p>
        </w:tc>
        <w:tc>
          <w:tcPr>
            <w:tcW w:w="1417" w:type="dxa"/>
            <w:vMerge w:val="restart"/>
            <w:shd w:val="clear" w:color="auto" w:fill="auto"/>
            <w:vAlign w:val="center"/>
          </w:tcPr>
          <w:p>
            <w:pPr>
              <w:widowControl/>
              <w:autoSpaceDE/>
              <w:autoSpaceDN/>
              <w:adjustRightInd/>
              <w:spacing w:line="240" w:lineRule="auto"/>
              <w:ind w:firstLine="0" w:firstLineChars="0"/>
              <w:jc w:val="center"/>
              <w:rPr>
                <w:rFonts w:ascii="仿宋" w:hAnsi="仿宋" w:eastAsia="仿宋" w:cs="宋体"/>
                <w:b/>
                <w:bCs/>
                <w:color w:val="000000"/>
                <w:sz w:val="24"/>
                <w:szCs w:val="24"/>
                <w:lang w:val="en-US"/>
              </w:rPr>
            </w:pPr>
            <w:r>
              <w:rPr>
                <w:rFonts w:hint="eastAsia" w:ascii="仿宋" w:hAnsi="仿宋" w:eastAsia="仿宋" w:cs="宋体"/>
                <w:b/>
                <w:bCs/>
                <w:color w:val="000000"/>
                <w:sz w:val="24"/>
                <w:szCs w:val="24"/>
                <w:lang w:val="en-US"/>
              </w:rPr>
              <w:t>投入执勤年月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82" w:type="dxa"/>
            <w:vMerge w:val="continue"/>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2379" w:type="dxa"/>
            <w:vMerge w:val="continue"/>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3444" w:type="dxa"/>
            <w:vMerge w:val="continue"/>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1134" w:type="dxa"/>
            <w:vMerge w:val="continue"/>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1417" w:type="dxa"/>
            <w:vMerge w:val="continue"/>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82" w:type="dxa"/>
            <w:vMerge w:val="restart"/>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市级</w:t>
            </w:r>
          </w:p>
        </w:tc>
        <w:tc>
          <w:tcPr>
            <w:tcW w:w="2379"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花园路特勤消防站</w:t>
            </w:r>
          </w:p>
        </w:tc>
        <w:tc>
          <w:tcPr>
            <w:tcW w:w="3444" w:type="dxa"/>
            <w:shd w:val="clear" w:color="000000" w:fill="FFFFFF"/>
            <w:noWrap/>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r>
              <w:rPr>
                <w:rFonts w:hint="eastAsia" w:ascii="仿宋" w:hAnsi="仿宋" w:eastAsia="仿宋" w:cs="宋体"/>
                <w:sz w:val="24"/>
                <w:szCs w:val="24"/>
                <w:lang w:val="en-US"/>
              </w:rPr>
              <w:t>花园西路90号</w:t>
            </w:r>
          </w:p>
        </w:tc>
        <w:tc>
          <w:tcPr>
            <w:tcW w:w="113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特勤站</w:t>
            </w:r>
          </w:p>
        </w:tc>
        <w:tc>
          <w:tcPr>
            <w:tcW w:w="141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2009.06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82" w:type="dxa"/>
            <w:vMerge w:val="continue"/>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2379"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明湖大道特勤消防站</w:t>
            </w:r>
          </w:p>
        </w:tc>
        <w:tc>
          <w:tcPr>
            <w:tcW w:w="3444" w:type="dxa"/>
            <w:shd w:val="clear" w:color="000000" w:fill="FFFFFF"/>
            <w:noWrap/>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r>
              <w:rPr>
                <w:rFonts w:hint="eastAsia" w:ascii="仿宋" w:hAnsi="仿宋" w:eastAsia="仿宋" w:cs="宋体"/>
                <w:sz w:val="24"/>
                <w:szCs w:val="24"/>
                <w:lang w:val="en-US"/>
              </w:rPr>
              <w:t>明湖大道9</w:t>
            </w:r>
            <w:r>
              <w:rPr>
                <w:rFonts w:ascii="仿宋" w:hAnsi="仿宋" w:eastAsia="仿宋" w:cs="宋体"/>
                <w:sz w:val="24"/>
                <w:szCs w:val="24"/>
                <w:lang w:val="en-US"/>
              </w:rPr>
              <w:t>0</w:t>
            </w:r>
            <w:r>
              <w:rPr>
                <w:rFonts w:hint="eastAsia" w:ascii="仿宋" w:hAnsi="仿宋" w:eastAsia="仿宋" w:cs="宋体"/>
                <w:sz w:val="24"/>
                <w:szCs w:val="24"/>
                <w:lang w:val="en-US"/>
              </w:rPr>
              <w:t>号</w:t>
            </w:r>
          </w:p>
        </w:tc>
        <w:tc>
          <w:tcPr>
            <w:tcW w:w="113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特勤站</w:t>
            </w:r>
          </w:p>
        </w:tc>
        <w:tc>
          <w:tcPr>
            <w:tcW w:w="141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02</w:t>
            </w:r>
            <w:r>
              <w:rPr>
                <w:rFonts w:hint="eastAsia" w:ascii="仿宋" w:hAnsi="仿宋" w:eastAsia="仿宋" w:cs="宋体"/>
                <w:sz w:val="24"/>
                <w:szCs w:val="24"/>
                <w:lang w:val="en-US"/>
              </w:rPr>
              <w:t>1</w:t>
            </w:r>
            <w:r>
              <w:rPr>
                <w:rFonts w:ascii="仿宋" w:hAnsi="仿宋" w:eastAsia="仿宋" w:cs="宋体"/>
                <w:sz w:val="24"/>
                <w:szCs w:val="24"/>
                <w:lang w:val="en-US"/>
              </w:rPr>
              <w:t>.12</w:t>
            </w:r>
          </w:p>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82" w:type="dxa"/>
            <w:vMerge w:val="restart"/>
            <w:shd w:val="clear" w:color="000000" w:fill="FFFFFF"/>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琅琊区</w:t>
            </w:r>
          </w:p>
        </w:tc>
        <w:tc>
          <w:tcPr>
            <w:tcW w:w="2379"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清流路消防站</w:t>
            </w:r>
          </w:p>
        </w:tc>
        <w:tc>
          <w:tcPr>
            <w:tcW w:w="3444" w:type="dxa"/>
            <w:shd w:val="clear" w:color="000000" w:fill="FFFFFF"/>
            <w:noWrap/>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r>
              <w:rPr>
                <w:rFonts w:hint="eastAsia" w:ascii="仿宋" w:hAnsi="仿宋" w:eastAsia="仿宋" w:cs="宋体"/>
                <w:sz w:val="24"/>
                <w:szCs w:val="24"/>
                <w:lang w:val="en-US"/>
              </w:rPr>
              <w:t>清流西路345号</w:t>
            </w:r>
          </w:p>
        </w:tc>
        <w:tc>
          <w:tcPr>
            <w:tcW w:w="113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二级站</w:t>
            </w:r>
          </w:p>
        </w:tc>
        <w:tc>
          <w:tcPr>
            <w:tcW w:w="141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1991.11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82" w:type="dxa"/>
            <w:vMerge w:val="continue"/>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2379"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明光路消防站</w:t>
            </w:r>
          </w:p>
        </w:tc>
        <w:tc>
          <w:tcPr>
            <w:tcW w:w="3444" w:type="dxa"/>
            <w:shd w:val="clear" w:color="000000" w:fill="FFFFFF"/>
            <w:noWrap/>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r>
              <w:rPr>
                <w:rFonts w:hint="eastAsia" w:ascii="仿宋" w:hAnsi="仿宋" w:eastAsia="仿宋" w:cs="宋体"/>
                <w:sz w:val="24"/>
                <w:szCs w:val="24"/>
                <w:lang w:val="en-US"/>
              </w:rPr>
              <w:t>明光东路300号</w:t>
            </w:r>
          </w:p>
        </w:tc>
        <w:tc>
          <w:tcPr>
            <w:tcW w:w="1134"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二级站</w:t>
            </w:r>
          </w:p>
        </w:tc>
        <w:tc>
          <w:tcPr>
            <w:tcW w:w="141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2001.06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982" w:type="dxa"/>
            <w:vMerge w:val="continue"/>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2379"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琅琊新区消防站</w:t>
            </w:r>
          </w:p>
        </w:tc>
        <w:tc>
          <w:tcPr>
            <w:tcW w:w="3444" w:type="dxa"/>
            <w:shd w:val="clear" w:color="000000" w:fill="FFFFFF"/>
            <w:noWrap/>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r>
              <w:rPr>
                <w:rFonts w:hint="eastAsia" w:ascii="仿宋" w:hAnsi="仿宋" w:eastAsia="仿宋" w:cs="宋体"/>
                <w:sz w:val="24"/>
                <w:szCs w:val="24"/>
                <w:lang w:val="en-US"/>
              </w:rPr>
              <w:t>琅琊区银山路与襄河路交叉口</w:t>
            </w:r>
          </w:p>
        </w:tc>
        <w:tc>
          <w:tcPr>
            <w:tcW w:w="1134"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一级站</w:t>
            </w:r>
          </w:p>
        </w:tc>
        <w:tc>
          <w:tcPr>
            <w:tcW w:w="141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2021.12</w:t>
            </w:r>
          </w:p>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82" w:type="dxa"/>
            <w:vMerge w:val="restart"/>
            <w:shd w:val="clear" w:color="000000" w:fill="FFFFFF"/>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经开区</w:t>
            </w:r>
          </w:p>
        </w:tc>
        <w:tc>
          <w:tcPr>
            <w:tcW w:w="2379" w:type="dxa"/>
            <w:vMerge w:val="restart"/>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何郢路消防站</w:t>
            </w:r>
          </w:p>
        </w:tc>
        <w:tc>
          <w:tcPr>
            <w:tcW w:w="3444" w:type="dxa"/>
            <w:vMerge w:val="restart"/>
            <w:shd w:val="clear" w:color="000000" w:fill="FFFFFF"/>
            <w:noWrap/>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r>
              <w:rPr>
                <w:rFonts w:hint="eastAsia" w:ascii="仿宋" w:hAnsi="仿宋" w:eastAsia="仿宋" w:cs="宋体"/>
                <w:sz w:val="24"/>
                <w:szCs w:val="24"/>
                <w:lang w:val="en-US"/>
              </w:rPr>
              <w:t>何郢路163号</w:t>
            </w:r>
          </w:p>
        </w:tc>
        <w:tc>
          <w:tcPr>
            <w:tcW w:w="1134" w:type="dxa"/>
            <w:vMerge w:val="restart"/>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二级站</w:t>
            </w:r>
          </w:p>
        </w:tc>
        <w:tc>
          <w:tcPr>
            <w:tcW w:w="1417" w:type="dxa"/>
            <w:vMerge w:val="restart"/>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2009.07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82" w:type="dxa"/>
            <w:vMerge w:val="continue"/>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2379" w:type="dxa"/>
            <w:vMerge w:val="continue"/>
            <w:vAlign w:val="center"/>
          </w:tcPr>
          <w:p>
            <w:pPr>
              <w:widowControl/>
              <w:autoSpaceDE/>
              <w:autoSpaceDN/>
              <w:adjustRightInd/>
              <w:spacing w:line="240" w:lineRule="auto"/>
              <w:ind w:firstLine="0" w:firstLineChars="0"/>
              <w:rPr>
                <w:rFonts w:ascii="仿宋" w:hAnsi="仿宋" w:eastAsia="仿宋" w:cs="宋体"/>
                <w:sz w:val="24"/>
                <w:szCs w:val="24"/>
                <w:lang w:val="en-US"/>
              </w:rPr>
            </w:pPr>
          </w:p>
        </w:tc>
        <w:tc>
          <w:tcPr>
            <w:tcW w:w="3444" w:type="dxa"/>
            <w:vMerge w:val="continue"/>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p>
        </w:tc>
        <w:tc>
          <w:tcPr>
            <w:tcW w:w="1134" w:type="dxa"/>
            <w:vMerge w:val="continue"/>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417" w:type="dxa"/>
            <w:vMerge w:val="continue"/>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82" w:type="dxa"/>
            <w:vMerge w:val="restart"/>
            <w:shd w:val="clear" w:color="000000" w:fill="FFFFFF"/>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南谯区</w:t>
            </w:r>
          </w:p>
        </w:tc>
        <w:tc>
          <w:tcPr>
            <w:tcW w:w="2379"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color w:val="000000" w:themeColor="text1"/>
                <w:sz w:val="24"/>
                <w:szCs w:val="24"/>
                <w:lang w:val="en-US"/>
                <w14:textFill>
                  <w14:solidFill>
                    <w14:schemeClr w14:val="tx1"/>
                  </w14:solidFill>
                </w14:textFill>
              </w:rPr>
              <w:t>德盛</w:t>
            </w:r>
            <w:r>
              <w:rPr>
                <w:rFonts w:hint="eastAsia" w:ascii="仿宋" w:hAnsi="仿宋" w:eastAsia="仿宋" w:cs="宋体"/>
                <w:sz w:val="24"/>
                <w:szCs w:val="24"/>
                <w:lang w:val="en-US"/>
              </w:rPr>
              <w:t>路消防站</w:t>
            </w:r>
          </w:p>
        </w:tc>
        <w:tc>
          <w:tcPr>
            <w:tcW w:w="3444" w:type="dxa"/>
            <w:shd w:val="clear" w:color="000000" w:fill="FFFFFF"/>
            <w:noWrap/>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r>
              <w:rPr>
                <w:rFonts w:hint="eastAsia" w:ascii="仿宋" w:hAnsi="仿宋" w:eastAsia="仿宋" w:cs="宋体"/>
                <w:sz w:val="24"/>
                <w:szCs w:val="24"/>
                <w:lang w:val="en-US"/>
              </w:rPr>
              <w:t>南谯区乌衣镇桃园路</w:t>
            </w:r>
          </w:p>
        </w:tc>
        <w:tc>
          <w:tcPr>
            <w:tcW w:w="113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一级站</w:t>
            </w:r>
          </w:p>
        </w:tc>
        <w:tc>
          <w:tcPr>
            <w:tcW w:w="141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2013.08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82" w:type="dxa"/>
            <w:vMerge w:val="continue"/>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2379"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苏滁高新区专职站</w:t>
            </w:r>
          </w:p>
        </w:tc>
        <w:tc>
          <w:tcPr>
            <w:tcW w:w="3444" w:type="dxa"/>
            <w:shd w:val="clear" w:color="000000" w:fill="FFFFFF"/>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r>
              <w:rPr>
                <w:rFonts w:hint="eastAsia" w:ascii="仿宋" w:hAnsi="仿宋" w:eastAsia="仿宋" w:cs="宋体"/>
                <w:sz w:val="24"/>
                <w:szCs w:val="24"/>
                <w:lang w:val="en-US"/>
              </w:rPr>
              <w:t>苏滁高新区</w:t>
            </w:r>
          </w:p>
        </w:tc>
        <w:tc>
          <w:tcPr>
            <w:tcW w:w="113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二级站</w:t>
            </w:r>
          </w:p>
        </w:tc>
        <w:tc>
          <w:tcPr>
            <w:tcW w:w="141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82" w:type="dxa"/>
            <w:vMerge w:val="restart"/>
            <w:shd w:val="clear" w:color="000000" w:fill="FFFFFF"/>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天长市</w:t>
            </w:r>
          </w:p>
        </w:tc>
        <w:tc>
          <w:tcPr>
            <w:tcW w:w="2379"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广陵路消防站</w:t>
            </w:r>
          </w:p>
        </w:tc>
        <w:tc>
          <w:tcPr>
            <w:tcW w:w="3444" w:type="dxa"/>
            <w:shd w:val="clear" w:color="000000" w:fill="FFFFFF"/>
            <w:noWrap/>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r>
              <w:rPr>
                <w:rFonts w:hint="eastAsia" w:ascii="仿宋" w:hAnsi="仿宋" w:eastAsia="仿宋" w:cs="宋体"/>
                <w:sz w:val="24"/>
                <w:szCs w:val="24"/>
                <w:lang w:val="en-US"/>
              </w:rPr>
              <w:t>广陵路11号</w:t>
            </w:r>
          </w:p>
        </w:tc>
        <w:tc>
          <w:tcPr>
            <w:tcW w:w="113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一级站</w:t>
            </w:r>
          </w:p>
        </w:tc>
        <w:tc>
          <w:tcPr>
            <w:tcW w:w="141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2016.01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82" w:type="dxa"/>
            <w:vMerge w:val="continue"/>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2379"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经五路专职消防站</w:t>
            </w:r>
          </w:p>
        </w:tc>
        <w:tc>
          <w:tcPr>
            <w:tcW w:w="3444" w:type="dxa"/>
            <w:shd w:val="clear" w:color="000000" w:fill="FFFFFF"/>
            <w:noWrap/>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r>
              <w:rPr>
                <w:rFonts w:hint="eastAsia" w:ascii="仿宋" w:hAnsi="仿宋" w:eastAsia="仿宋" w:cs="宋体"/>
                <w:sz w:val="24"/>
                <w:szCs w:val="24"/>
                <w:lang w:val="en-US"/>
              </w:rPr>
              <w:t>天汊路217号</w:t>
            </w:r>
          </w:p>
        </w:tc>
        <w:tc>
          <w:tcPr>
            <w:tcW w:w="113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二级站</w:t>
            </w:r>
          </w:p>
        </w:tc>
        <w:tc>
          <w:tcPr>
            <w:tcW w:w="141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2012.08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82"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明光市</w:t>
            </w:r>
          </w:p>
        </w:tc>
        <w:tc>
          <w:tcPr>
            <w:tcW w:w="2379"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双拥路消防站</w:t>
            </w:r>
          </w:p>
        </w:tc>
        <w:tc>
          <w:tcPr>
            <w:tcW w:w="3444" w:type="dxa"/>
            <w:shd w:val="clear" w:color="000000" w:fill="FFFFFF"/>
            <w:noWrap/>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r>
              <w:rPr>
                <w:rFonts w:hint="eastAsia" w:ascii="仿宋" w:hAnsi="仿宋" w:eastAsia="仿宋" w:cs="宋体"/>
                <w:sz w:val="24"/>
                <w:szCs w:val="24"/>
                <w:lang w:val="en-US"/>
              </w:rPr>
              <w:t>双拥路119号</w:t>
            </w:r>
          </w:p>
        </w:tc>
        <w:tc>
          <w:tcPr>
            <w:tcW w:w="113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一级站</w:t>
            </w:r>
          </w:p>
        </w:tc>
        <w:tc>
          <w:tcPr>
            <w:tcW w:w="1417"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2010.08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82"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来安县</w:t>
            </w:r>
          </w:p>
        </w:tc>
        <w:tc>
          <w:tcPr>
            <w:tcW w:w="2379"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来安大道消防站</w:t>
            </w:r>
          </w:p>
        </w:tc>
        <w:tc>
          <w:tcPr>
            <w:tcW w:w="3444" w:type="dxa"/>
            <w:shd w:val="clear" w:color="000000" w:fill="FFFFFF"/>
            <w:noWrap/>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r>
              <w:rPr>
                <w:rFonts w:hint="eastAsia" w:ascii="仿宋" w:hAnsi="仿宋" w:eastAsia="仿宋" w:cs="宋体"/>
                <w:sz w:val="24"/>
                <w:szCs w:val="24"/>
                <w:lang w:val="en-US"/>
              </w:rPr>
              <w:t>来安大道</w:t>
            </w:r>
          </w:p>
        </w:tc>
        <w:tc>
          <w:tcPr>
            <w:tcW w:w="113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一级站</w:t>
            </w:r>
          </w:p>
        </w:tc>
        <w:tc>
          <w:tcPr>
            <w:tcW w:w="1417"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2013.05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82"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全椒县</w:t>
            </w:r>
          </w:p>
        </w:tc>
        <w:tc>
          <w:tcPr>
            <w:tcW w:w="2379"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大吴路消防站</w:t>
            </w:r>
          </w:p>
        </w:tc>
        <w:tc>
          <w:tcPr>
            <w:tcW w:w="3444" w:type="dxa"/>
            <w:shd w:val="clear" w:color="000000" w:fill="FFFFFF"/>
            <w:noWrap/>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r>
              <w:rPr>
                <w:rFonts w:hint="eastAsia" w:ascii="仿宋" w:hAnsi="仿宋" w:eastAsia="仿宋" w:cs="宋体"/>
                <w:sz w:val="24"/>
                <w:szCs w:val="24"/>
                <w:lang w:val="en-US"/>
              </w:rPr>
              <w:t>大吴路119号</w:t>
            </w:r>
          </w:p>
        </w:tc>
        <w:tc>
          <w:tcPr>
            <w:tcW w:w="113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一级站</w:t>
            </w:r>
          </w:p>
        </w:tc>
        <w:tc>
          <w:tcPr>
            <w:tcW w:w="141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2010.09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82" w:type="dxa"/>
            <w:vMerge w:val="restart"/>
            <w:shd w:val="clear" w:color="000000" w:fill="FFFFFF"/>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定远县</w:t>
            </w:r>
          </w:p>
        </w:tc>
        <w:tc>
          <w:tcPr>
            <w:tcW w:w="2379"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永康路消防站</w:t>
            </w:r>
          </w:p>
        </w:tc>
        <w:tc>
          <w:tcPr>
            <w:tcW w:w="3444" w:type="dxa"/>
            <w:shd w:val="clear" w:color="000000" w:fill="FFFFFF"/>
            <w:noWrap/>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r>
              <w:rPr>
                <w:rFonts w:hint="eastAsia" w:ascii="仿宋" w:hAnsi="仿宋" w:eastAsia="仿宋" w:cs="宋体"/>
                <w:sz w:val="24"/>
                <w:szCs w:val="24"/>
                <w:lang w:val="en-US"/>
              </w:rPr>
              <w:t>泉坞山大道东侧永康路北侧</w:t>
            </w:r>
          </w:p>
        </w:tc>
        <w:tc>
          <w:tcPr>
            <w:tcW w:w="113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一级站</w:t>
            </w:r>
          </w:p>
        </w:tc>
        <w:tc>
          <w:tcPr>
            <w:tcW w:w="141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82" w:type="dxa"/>
            <w:vMerge w:val="continue"/>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2379"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斋朗路专职消防站</w:t>
            </w:r>
          </w:p>
        </w:tc>
        <w:tc>
          <w:tcPr>
            <w:tcW w:w="3444" w:type="dxa"/>
            <w:shd w:val="clear" w:color="auto" w:fill="auto"/>
            <w:noWrap/>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r>
              <w:rPr>
                <w:rFonts w:hint="eastAsia" w:ascii="仿宋" w:hAnsi="仿宋" w:eastAsia="仿宋" w:cs="宋体"/>
                <w:sz w:val="24"/>
                <w:szCs w:val="24"/>
                <w:lang w:val="en-US"/>
              </w:rPr>
              <w:t>定远县斋朗路</w:t>
            </w:r>
          </w:p>
        </w:tc>
        <w:tc>
          <w:tcPr>
            <w:tcW w:w="113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二级站</w:t>
            </w:r>
          </w:p>
        </w:tc>
        <w:tc>
          <w:tcPr>
            <w:tcW w:w="141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2008.08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82" w:type="dxa"/>
            <w:vMerge w:val="restart"/>
            <w:shd w:val="clear" w:color="000000" w:fill="FFFFFF"/>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凤阳县</w:t>
            </w:r>
          </w:p>
        </w:tc>
        <w:tc>
          <w:tcPr>
            <w:tcW w:w="2379"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琴音路消防站</w:t>
            </w:r>
          </w:p>
        </w:tc>
        <w:tc>
          <w:tcPr>
            <w:tcW w:w="3444" w:type="dxa"/>
            <w:shd w:val="clear" w:color="000000" w:fill="FFFFFF"/>
            <w:noWrap/>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r>
              <w:rPr>
                <w:rFonts w:hint="eastAsia" w:ascii="仿宋" w:hAnsi="仿宋" w:eastAsia="仿宋" w:cs="宋体"/>
                <w:sz w:val="24"/>
                <w:szCs w:val="24"/>
                <w:lang w:val="en-US"/>
              </w:rPr>
              <w:t>门台工业园区琴音路</w:t>
            </w:r>
          </w:p>
        </w:tc>
        <w:tc>
          <w:tcPr>
            <w:tcW w:w="113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一级站</w:t>
            </w:r>
          </w:p>
        </w:tc>
        <w:tc>
          <w:tcPr>
            <w:tcW w:w="141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2013.01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82" w:type="dxa"/>
            <w:vMerge w:val="continue"/>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2379" w:type="dxa"/>
            <w:shd w:val="clear" w:color="auto" w:fill="auto"/>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禁垣路专职消防站</w:t>
            </w:r>
          </w:p>
        </w:tc>
        <w:tc>
          <w:tcPr>
            <w:tcW w:w="3444" w:type="dxa"/>
            <w:shd w:val="clear" w:color="000000" w:fill="FFFFFF"/>
            <w:noWrap/>
            <w:vAlign w:val="center"/>
          </w:tcPr>
          <w:p>
            <w:pPr>
              <w:widowControl/>
              <w:autoSpaceDE/>
              <w:autoSpaceDN/>
              <w:adjustRightInd/>
              <w:spacing w:line="240" w:lineRule="auto"/>
              <w:ind w:firstLine="0" w:firstLineChars="0"/>
              <w:jc w:val="both"/>
              <w:rPr>
                <w:rFonts w:ascii="仿宋" w:hAnsi="仿宋" w:eastAsia="仿宋" w:cs="宋体"/>
                <w:sz w:val="24"/>
                <w:szCs w:val="24"/>
                <w:lang w:val="en-US"/>
              </w:rPr>
            </w:pPr>
            <w:r>
              <w:rPr>
                <w:rFonts w:hint="eastAsia" w:ascii="仿宋" w:hAnsi="仿宋" w:eastAsia="仿宋" w:cs="宋体"/>
                <w:sz w:val="24"/>
                <w:szCs w:val="24"/>
                <w:lang w:val="en-US"/>
              </w:rPr>
              <w:t>府城镇禁垣路19号</w:t>
            </w:r>
          </w:p>
        </w:tc>
        <w:tc>
          <w:tcPr>
            <w:tcW w:w="113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二级站</w:t>
            </w:r>
          </w:p>
        </w:tc>
        <w:tc>
          <w:tcPr>
            <w:tcW w:w="141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1983.06</w:t>
            </w:r>
          </w:p>
        </w:tc>
      </w:tr>
    </w:tbl>
    <w:p>
      <w:pPr>
        <w:pStyle w:val="52"/>
        <w:ind w:firstLine="480"/>
        <w:sectPr>
          <w:headerReference r:id="rId14" w:type="default"/>
          <w:footerReference r:id="rId15" w:type="default"/>
          <w:pgSz w:w="11906" w:h="16838"/>
          <w:pgMar w:top="1797" w:right="1440" w:bottom="1797" w:left="1440" w:header="680" w:footer="992" w:gutter="0"/>
          <w:cols w:space="425" w:num="1"/>
          <w:docGrid w:linePitch="381" w:charSpace="0"/>
        </w:sectPr>
      </w:pPr>
    </w:p>
    <w:p>
      <w:pPr>
        <w:pStyle w:val="3"/>
        <w:jc w:val="center"/>
        <w:rPr>
          <w:rFonts w:ascii="黑体" w:hAnsi="黑体" w:eastAsia="黑体"/>
          <w:sz w:val="32"/>
          <w:szCs w:val="32"/>
        </w:rPr>
      </w:pPr>
      <w:bookmarkStart w:id="80" w:name="_Toc89958975"/>
      <w:bookmarkStart w:id="81" w:name="_Hlk69406812"/>
      <w:r>
        <w:rPr>
          <w:rFonts w:hint="eastAsia" w:ascii="黑体" w:hAnsi="黑体" w:eastAsia="黑体"/>
          <w:sz w:val="32"/>
          <w:szCs w:val="32"/>
        </w:rPr>
        <w:t>附件三：至“十三五”末乡镇消防队建设情况</w:t>
      </w:r>
      <w:bookmarkEnd w:id="80"/>
    </w:p>
    <w:tbl>
      <w:tblPr>
        <w:tblStyle w:val="28"/>
        <w:tblW w:w="13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2227"/>
        <w:gridCol w:w="2153"/>
        <w:gridCol w:w="1988"/>
        <w:gridCol w:w="2268"/>
        <w:gridCol w:w="2173"/>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596" w:type="dxa"/>
            <w:vMerge w:val="restart"/>
            <w:tcBorders>
              <w:tl2br w:val="single" w:color="auto" w:sz="4" w:space="0"/>
            </w:tcBorders>
            <w:shd w:val="clear" w:color="auto" w:fill="auto"/>
            <w:noWrap/>
            <w:vAlign w:val="center"/>
          </w:tcPr>
          <w:p>
            <w:pPr>
              <w:widowControl/>
              <w:autoSpaceDE/>
              <w:autoSpaceDN/>
              <w:adjustRightInd/>
              <w:spacing w:line="240" w:lineRule="auto"/>
              <w:ind w:right="-636" w:rightChars="-227"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类别</w:t>
            </w:r>
          </w:p>
          <w:p>
            <w:pPr>
              <w:widowControl/>
              <w:autoSpaceDE/>
              <w:autoSpaceDN/>
              <w:adjustRightInd/>
              <w:spacing w:line="240" w:lineRule="auto"/>
              <w:ind w:left="-826" w:leftChars="-295"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区域</w:t>
            </w:r>
          </w:p>
        </w:tc>
        <w:tc>
          <w:tcPr>
            <w:tcW w:w="6368" w:type="dxa"/>
            <w:gridSpan w:val="3"/>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一级乡镇专职消防队</w:t>
            </w:r>
          </w:p>
        </w:tc>
        <w:tc>
          <w:tcPr>
            <w:tcW w:w="5833" w:type="dxa"/>
            <w:gridSpan w:val="3"/>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二级乡镇专职消防队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96" w:type="dxa"/>
            <w:vMerge w:val="continue"/>
            <w:tcBorders>
              <w:tl2br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p>
        </w:tc>
        <w:tc>
          <w:tcPr>
            <w:tcW w:w="2227" w:type="dxa"/>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人口超５万人乡镇</w:t>
            </w:r>
          </w:p>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及重点镇数量(个)</w:t>
            </w:r>
          </w:p>
        </w:tc>
        <w:tc>
          <w:tcPr>
            <w:tcW w:w="2153"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已建队或满足救援需求数量（个）</w:t>
            </w:r>
          </w:p>
        </w:tc>
        <w:tc>
          <w:tcPr>
            <w:tcW w:w="1988" w:type="dxa"/>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覆盖率(</w:t>
            </w:r>
            <w:r>
              <w:rPr>
                <w:rFonts w:ascii="仿宋" w:hAnsi="仿宋" w:eastAsia="仿宋" w:cs="宋体"/>
                <w:b/>
                <w:bCs/>
                <w:sz w:val="24"/>
                <w:szCs w:val="24"/>
                <w:lang w:val="en-US"/>
              </w:rPr>
              <w:t>%)</w:t>
            </w:r>
          </w:p>
        </w:tc>
        <w:tc>
          <w:tcPr>
            <w:tcW w:w="2268" w:type="dxa"/>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人口2万至５万人</w:t>
            </w:r>
          </w:p>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及中心镇数量（个）</w:t>
            </w:r>
          </w:p>
        </w:tc>
        <w:tc>
          <w:tcPr>
            <w:tcW w:w="2173"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已建队或满足救援需求数量（个）</w:t>
            </w:r>
          </w:p>
        </w:tc>
        <w:tc>
          <w:tcPr>
            <w:tcW w:w="1392" w:type="dxa"/>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覆盖率(</w:t>
            </w:r>
            <w:r>
              <w:rPr>
                <w:rFonts w:ascii="仿宋" w:hAnsi="仿宋" w:eastAsia="仿宋" w:cs="宋体"/>
                <w:b/>
                <w:bCs/>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6"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南谯区</w:t>
            </w:r>
          </w:p>
        </w:tc>
        <w:tc>
          <w:tcPr>
            <w:tcW w:w="222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2153"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988"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00%</w:t>
            </w:r>
          </w:p>
        </w:tc>
        <w:tc>
          <w:tcPr>
            <w:tcW w:w="2268"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2173"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１</w:t>
            </w:r>
          </w:p>
        </w:tc>
        <w:tc>
          <w:tcPr>
            <w:tcW w:w="1392"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r>
              <w:rPr>
                <w:rFonts w:ascii="仿宋" w:hAnsi="仿宋" w:eastAsia="仿宋" w:cs="宋体"/>
                <w:sz w:val="24"/>
                <w:szCs w:val="24"/>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96"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天长市</w:t>
            </w:r>
          </w:p>
        </w:tc>
        <w:tc>
          <w:tcPr>
            <w:tcW w:w="222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w:t>
            </w:r>
          </w:p>
        </w:tc>
        <w:tc>
          <w:tcPr>
            <w:tcW w:w="2153"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4</w:t>
            </w:r>
          </w:p>
        </w:tc>
        <w:tc>
          <w:tcPr>
            <w:tcW w:w="1988"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00%</w:t>
            </w:r>
          </w:p>
        </w:tc>
        <w:tc>
          <w:tcPr>
            <w:tcW w:w="2268"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2</w:t>
            </w:r>
          </w:p>
        </w:tc>
        <w:tc>
          <w:tcPr>
            <w:tcW w:w="2173"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１</w:t>
            </w:r>
          </w:p>
        </w:tc>
        <w:tc>
          <w:tcPr>
            <w:tcW w:w="1392"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8</w:t>
            </w:r>
            <w:r>
              <w:rPr>
                <w:rFonts w:ascii="仿宋" w:hAnsi="仿宋" w:eastAsia="仿宋" w:cs="宋体"/>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96"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明光市</w:t>
            </w:r>
          </w:p>
        </w:tc>
        <w:tc>
          <w:tcPr>
            <w:tcW w:w="222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3</w:t>
            </w:r>
          </w:p>
        </w:tc>
        <w:tc>
          <w:tcPr>
            <w:tcW w:w="2153"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1988"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6</w:t>
            </w:r>
            <w:r>
              <w:rPr>
                <w:rFonts w:ascii="仿宋" w:hAnsi="仿宋" w:eastAsia="仿宋" w:cs="宋体"/>
                <w:sz w:val="24"/>
                <w:szCs w:val="24"/>
                <w:lang w:val="en-US"/>
              </w:rPr>
              <w:t>7%</w:t>
            </w:r>
          </w:p>
        </w:tc>
        <w:tc>
          <w:tcPr>
            <w:tcW w:w="2268"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7</w:t>
            </w:r>
          </w:p>
        </w:tc>
        <w:tc>
          <w:tcPr>
            <w:tcW w:w="2173"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1392"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596"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来安县</w:t>
            </w:r>
          </w:p>
        </w:tc>
        <w:tc>
          <w:tcPr>
            <w:tcW w:w="222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3</w:t>
            </w:r>
          </w:p>
        </w:tc>
        <w:tc>
          <w:tcPr>
            <w:tcW w:w="2153"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1988"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6</w:t>
            </w:r>
            <w:r>
              <w:rPr>
                <w:rFonts w:ascii="仿宋" w:hAnsi="仿宋" w:eastAsia="仿宋" w:cs="宋体"/>
                <w:sz w:val="24"/>
                <w:szCs w:val="24"/>
                <w:lang w:val="en-US"/>
              </w:rPr>
              <w:t>7%</w:t>
            </w:r>
          </w:p>
        </w:tc>
        <w:tc>
          <w:tcPr>
            <w:tcW w:w="2268"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p>
        </w:tc>
        <w:tc>
          <w:tcPr>
            <w:tcW w:w="2173"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3</w:t>
            </w:r>
          </w:p>
        </w:tc>
        <w:tc>
          <w:tcPr>
            <w:tcW w:w="1392"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6</w:t>
            </w:r>
            <w:r>
              <w:rPr>
                <w:rFonts w:ascii="仿宋" w:hAnsi="仿宋" w:eastAsia="仿宋" w:cs="宋体"/>
                <w:sz w:val="24"/>
                <w:szCs w:val="24"/>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96"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全椒县</w:t>
            </w:r>
          </w:p>
        </w:tc>
        <w:tc>
          <w:tcPr>
            <w:tcW w:w="222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2153"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2</w:t>
            </w:r>
          </w:p>
        </w:tc>
        <w:tc>
          <w:tcPr>
            <w:tcW w:w="1988"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00%</w:t>
            </w:r>
          </w:p>
        </w:tc>
        <w:tc>
          <w:tcPr>
            <w:tcW w:w="2268"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w:t>
            </w:r>
          </w:p>
        </w:tc>
        <w:tc>
          <w:tcPr>
            <w:tcW w:w="2173"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1392"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r>
              <w:rPr>
                <w:rFonts w:ascii="仿宋" w:hAnsi="仿宋" w:eastAsia="仿宋" w:cs="宋体"/>
                <w:sz w:val="24"/>
                <w:szCs w:val="24"/>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596"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定远县</w:t>
            </w:r>
          </w:p>
        </w:tc>
        <w:tc>
          <w:tcPr>
            <w:tcW w:w="222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3</w:t>
            </w:r>
          </w:p>
        </w:tc>
        <w:tc>
          <w:tcPr>
            <w:tcW w:w="2153"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3</w:t>
            </w:r>
          </w:p>
        </w:tc>
        <w:tc>
          <w:tcPr>
            <w:tcW w:w="1988"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00%</w:t>
            </w:r>
          </w:p>
        </w:tc>
        <w:tc>
          <w:tcPr>
            <w:tcW w:w="2268"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6</w:t>
            </w:r>
          </w:p>
        </w:tc>
        <w:tc>
          <w:tcPr>
            <w:tcW w:w="2173"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1392"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3</w:t>
            </w:r>
            <w:r>
              <w:rPr>
                <w:rFonts w:ascii="仿宋" w:hAnsi="仿宋" w:eastAsia="仿宋" w:cs="宋体"/>
                <w:sz w:val="24"/>
                <w:szCs w:val="24"/>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96"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凤阳县</w:t>
            </w:r>
          </w:p>
        </w:tc>
        <w:tc>
          <w:tcPr>
            <w:tcW w:w="222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p>
        </w:tc>
        <w:tc>
          <w:tcPr>
            <w:tcW w:w="2153"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1988"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w:t>
            </w:r>
            <w:r>
              <w:rPr>
                <w:rFonts w:ascii="仿宋" w:hAnsi="仿宋" w:eastAsia="仿宋" w:cs="宋体"/>
                <w:sz w:val="24"/>
                <w:szCs w:val="24"/>
                <w:lang w:val="en-US"/>
              </w:rPr>
              <w:t>0%</w:t>
            </w:r>
          </w:p>
        </w:tc>
        <w:tc>
          <w:tcPr>
            <w:tcW w:w="2268"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1</w:t>
            </w:r>
          </w:p>
        </w:tc>
        <w:tc>
          <w:tcPr>
            <w:tcW w:w="2173"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p>
        </w:tc>
        <w:tc>
          <w:tcPr>
            <w:tcW w:w="1392"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w:t>
            </w:r>
            <w:r>
              <w:rPr>
                <w:rFonts w:ascii="仿宋" w:hAnsi="仿宋" w:eastAsia="仿宋" w:cs="宋体"/>
                <w:sz w:val="24"/>
                <w:szCs w:val="24"/>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96"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平均覆盖率</w:t>
            </w:r>
          </w:p>
        </w:tc>
        <w:tc>
          <w:tcPr>
            <w:tcW w:w="6368" w:type="dxa"/>
            <w:gridSpan w:val="3"/>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8</w:t>
            </w:r>
            <w:r>
              <w:rPr>
                <w:rFonts w:ascii="仿宋" w:hAnsi="仿宋" w:eastAsia="仿宋" w:cs="宋体"/>
                <w:sz w:val="24"/>
                <w:szCs w:val="24"/>
                <w:lang w:val="en-US"/>
              </w:rPr>
              <w:t>2%</w:t>
            </w:r>
          </w:p>
        </w:tc>
        <w:tc>
          <w:tcPr>
            <w:tcW w:w="5833" w:type="dxa"/>
            <w:gridSpan w:val="3"/>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3</w:t>
            </w:r>
            <w:r>
              <w:rPr>
                <w:rFonts w:ascii="仿宋" w:hAnsi="仿宋" w:eastAsia="仿宋" w:cs="宋体"/>
                <w:sz w:val="24"/>
                <w:szCs w:val="24"/>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3797" w:type="dxa"/>
            <w:gridSpan w:val="7"/>
            <w:shd w:val="clear" w:color="auto" w:fill="auto"/>
            <w:noWrap/>
            <w:vAlign w:val="center"/>
          </w:tcPr>
          <w:p>
            <w:pPr>
              <w:widowControl/>
              <w:autoSpaceDE/>
              <w:autoSpaceDN/>
              <w:adjustRightInd/>
              <w:spacing w:line="240" w:lineRule="auto"/>
              <w:ind w:firstLine="0" w:firstLineChars="0"/>
              <w:jc w:val="both"/>
              <w:rPr>
                <w:rFonts w:ascii="仿宋" w:hAnsi="仿宋" w:eastAsia="仿宋" w:cs="宋体"/>
                <w:b/>
                <w:bCs/>
                <w:sz w:val="24"/>
                <w:szCs w:val="24"/>
                <w:lang w:val="en-US"/>
              </w:rPr>
            </w:pPr>
            <w:r>
              <w:rPr>
                <w:rFonts w:hint="eastAsia" w:ascii="仿宋" w:hAnsi="仿宋" w:eastAsia="仿宋" w:cs="宋体"/>
                <w:b/>
                <w:bCs/>
                <w:sz w:val="24"/>
                <w:szCs w:val="24"/>
                <w:lang w:val="en-US"/>
              </w:rPr>
              <w:t>总体建设达标情况说明：</w:t>
            </w:r>
          </w:p>
          <w:p>
            <w:pPr>
              <w:widowControl/>
              <w:autoSpaceDE/>
              <w:autoSpaceDN/>
              <w:adjustRightInd/>
              <w:spacing w:line="240" w:lineRule="auto"/>
              <w:ind w:firstLine="480"/>
              <w:jc w:val="both"/>
              <w:rPr>
                <w:rFonts w:ascii="仿宋" w:hAnsi="仿宋" w:eastAsia="仿宋" w:cs="宋体"/>
                <w:sz w:val="24"/>
                <w:szCs w:val="24"/>
                <w:lang w:val="en-US"/>
              </w:rPr>
            </w:pPr>
            <w:r>
              <w:rPr>
                <w:rFonts w:hint="eastAsia" w:ascii="仿宋" w:hAnsi="仿宋" w:eastAsia="仿宋" w:cs="宋体"/>
                <w:sz w:val="24"/>
                <w:szCs w:val="24"/>
                <w:lang w:val="en-US"/>
              </w:rPr>
              <w:t>依据全国第七次人口普查（滁州市）的各乡镇常住人口数据和《乡镇消防队》(GB/T 35547-2017</w:t>
            </w:r>
            <w:r>
              <w:rPr>
                <w:rFonts w:ascii="仿宋" w:hAnsi="仿宋" w:eastAsia="仿宋" w:cs="宋体"/>
                <w:sz w:val="24"/>
                <w:szCs w:val="24"/>
                <w:lang w:val="en-US"/>
              </w:rPr>
              <w:t>)</w:t>
            </w:r>
            <w:r>
              <w:rPr>
                <w:rFonts w:hint="eastAsia" w:ascii="仿宋" w:hAnsi="仿宋" w:eastAsia="仿宋" w:cs="宋体"/>
                <w:sz w:val="24"/>
                <w:szCs w:val="24"/>
                <w:lang w:val="en-US"/>
              </w:rPr>
              <w:t>建设标准，５万以上常住人口应该设立一级乡镇专职消防队，2</w:t>
            </w:r>
            <w:r>
              <w:rPr>
                <w:rFonts w:ascii="仿宋" w:hAnsi="仿宋" w:eastAsia="仿宋" w:cs="宋体"/>
                <w:sz w:val="24"/>
                <w:szCs w:val="24"/>
                <w:lang w:val="en-US"/>
              </w:rPr>
              <w:t>~5</w:t>
            </w:r>
            <w:r>
              <w:rPr>
                <w:rFonts w:hint="eastAsia" w:ascii="仿宋" w:hAnsi="仿宋" w:eastAsia="仿宋" w:cs="宋体"/>
                <w:sz w:val="24"/>
                <w:szCs w:val="24"/>
                <w:lang w:val="en-US"/>
              </w:rPr>
              <w:t>万常住人口应该设立二级乡镇专职消防队，2万</w:t>
            </w:r>
            <w:r>
              <w:rPr>
                <w:rFonts w:ascii="仿宋" w:hAnsi="仿宋" w:eastAsia="仿宋" w:cs="宋体"/>
                <w:sz w:val="24"/>
                <w:szCs w:val="24"/>
                <w:lang w:val="en-US"/>
              </w:rPr>
              <w:t>以下</w:t>
            </w:r>
            <w:r>
              <w:rPr>
                <w:rFonts w:hint="eastAsia" w:ascii="仿宋" w:hAnsi="仿宋" w:eastAsia="仿宋" w:cs="宋体"/>
                <w:sz w:val="24"/>
                <w:szCs w:val="24"/>
                <w:lang w:val="en-US"/>
              </w:rPr>
              <w:t>常住</w:t>
            </w:r>
            <w:r>
              <w:rPr>
                <w:rFonts w:ascii="仿宋" w:hAnsi="仿宋" w:eastAsia="仿宋" w:cs="宋体"/>
                <w:sz w:val="24"/>
                <w:szCs w:val="24"/>
                <w:lang w:val="en-US"/>
              </w:rPr>
              <w:t>人口</w:t>
            </w:r>
            <w:r>
              <w:rPr>
                <w:rFonts w:hint="eastAsia" w:ascii="仿宋" w:hAnsi="仿宋" w:eastAsia="仿宋" w:cs="宋体"/>
                <w:sz w:val="24"/>
                <w:szCs w:val="24"/>
                <w:lang w:val="en-US"/>
              </w:rPr>
              <w:t>应该设立乡镇志愿消防队。</w:t>
            </w:r>
          </w:p>
          <w:p>
            <w:pPr>
              <w:widowControl/>
              <w:autoSpaceDE/>
              <w:autoSpaceDN/>
              <w:adjustRightInd/>
              <w:spacing w:line="240" w:lineRule="auto"/>
              <w:ind w:firstLine="480"/>
              <w:jc w:val="both"/>
              <w:rPr>
                <w:rFonts w:ascii="仿宋" w:hAnsi="仿宋" w:eastAsia="仿宋" w:cs="宋体"/>
                <w:sz w:val="24"/>
                <w:szCs w:val="24"/>
                <w:lang w:val="en-US"/>
              </w:rPr>
            </w:pPr>
            <w:r>
              <w:rPr>
                <w:rFonts w:hint="eastAsia" w:ascii="仿宋" w:hAnsi="仿宋" w:eastAsia="仿宋" w:cs="宋体"/>
                <w:sz w:val="24"/>
                <w:szCs w:val="24"/>
                <w:lang w:val="en-US"/>
              </w:rPr>
              <w:t>按上述标准，目前全市一级乡镇专职消防队的平均覆盖率为8</w:t>
            </w:r>
            <w:r>
              <w:rPr>
                <w:rFonts w:ascii="仿宋" w:hAnsi="仿宋" w:eastAsia="仿宋" w:cs="宋体"/>
                <w:sz w:val="24"/>
                <w:szCs w:val="24"/>
                <w:lang w:val="en-US"/>
              </w:rPr>
              <w:t>2%</w:t>
            </w:r>
            <w:r>
              <w:rPr>
                <w:rFonts w:hint="eastAsia" w:ascii="仿宋" w:hAnsi="仿宋" w:eastAsia="仿宋" w:cs="宋体"/>
                <w:sz w:val="24"/>
                <w:szCs w:val="24"/>
                <w:lang w:val="en-US"/>
              </w:rPr>
              <w:t>，二级乡镇专职消防队的平均覆盖率为</w:t>
            </w:r>
            <w:r>
              <w:rPr>
                <w:rFonts w:ascii="仿宋" w:hAnsi="仿宋" w:eastAsia="仿宋" w:cs="宋体"/>
                <w:sz w:val="24"/>
                <w:szCs w:val="24"/>
                <w:lang w:val="en-US"/>
              </w:rPr>
              <w:t>39%</w:t>
            </w:r>
            <w:r>
              <w:rPr>
                <w:rFonts w:hint="eastAsia" w:ascii="仿宋" w:hAnsi="仿宋" w:eastAsia="仿宋" w:cs="宋体"/>
                <w:sz w:val="24"/>
                <w:szCs w:val="24"/>
                <w:lang w:val="en-US"/>
              </w:rPr>
              <w:t>，在已建的乡镇专职消防队中除铜城、汊河、炉桥、小溪河镇有独立的站房外</w:t>
            </w:r>
            <w:r>
              <w:rPr>
                <w:rFonts w:ascii="仿宋" w:hAnsi="仿宋" w:eastAsia="仿宋" w:cs="宋体"/>
                <w:sz w:val="24"/>
                <w:szCs w:val="24"/>
                <w:lang w:val="en-US"/>
              </w:rPr>
              <w:t>，其它</w:t>
            </w:r>
            <w:r>
              <w:rPr>
                <w:rFonts w:hint="eastAsia" w:ascii="仿宋" w:hAnsi="仿宋" w:eastAsia="仿宋" w:cs="宋体"/>
                <w:sz w:val="24"/>
                <w:szCs w:val="24"/>
                <w:lang w:val="en-US"/>
              </w:rPr>
              <w:t>均为暂用当地派出所场地，不符合国家标准要求。全市</w:t>
            </w:r>
            <w:r>
              <w:rPr>
                <w:rFonts w:ascii="仿宋" w:hAnsi="仿宋" w:eastAsia="仿宋" w:cs="宋体"/>
                <w:sz w:val="24"/>
                <w:szCs w:val="24"/>
                <w:lang w:val="en-US"/>
              </w:rPr>
              <w:t>常住人口在</w:t>
            </w:r>
            <w:r>
              <w:rPr>
                <w:rFonts w:hint="eastAsia" w:ascii="仿宋" w:hAnsi="仿宋" w:eastAsia="仿宋" w:cs="宋体"/>
                <w:sz w:val="24"/>
                <w:szCs w:val="24"/>
                <w:lang w:val="en-US"/>
              </w:rPr>
              <w:t>2万</w:t>
            </w:r>
            <w:r>
              <w:rPr>
                <w:rFonts w:ascii="仿宋" w:hAnsi="仿宋" w:eastAsia="仿宋" w:cs="宋体"/>
                <w:sz w:val="24"/>
                <w:szCs w:val="24"/>
                <w:lang w:val="en-US"/>
              </w:rPr>
              <w:t>以下的乡镇</w:t>
            </w:r>
            <w:r>
              <w:rPr>
                <w:rFonts w:hint="eastAsia" w:ascii="仿宋" w:hAnsi="仿宋" w:eastAsia="仿宋" w:cs="宋体"/>
                <w:sz w:val="24"/>
                <w:szCs w:val="24"/>
                <w:lang w:val="en-US"/>
              </w:rPr>
              <w:t>仅成立了消防志愿组织，均未达到乡镇志愿消防队的建设标准。</w:t>
            </w:r>
          </w:p>
        </w:tc>
      </w:tr>
    </w:tbl>
    <w:p>
      <w:pPr>
        <w:spacing w:line="240" w:lineRule="auto"/>
        <w:ind w:firstLine="0" w:firstLineChars="0"/>
        <w:jc w:val="both"/>
        <w:rPr>
          <w:rFonts w:ascii="仿宋" w:hAnsi="仿宋" w:eastAsia="仿宋"/>
          <w:color w:val="000000"/>
          <w:sz w:val="21"/>
          <w:szCs w:val="21"/>
          <w:lang w:val="en-US"/>
        </w:rPr>
        <w:sectPr>
          <w:headerReference r:id="rId16" w:type="default"/>
          <w:pgSz w:w="16838" w:h="11906" w:orient="landscape"/>
          <w:pgMar w:top="1440" w:right="1797" w:bottom="1440" w:left="1797" w:header="680" w:footer="992" w:gutter="0"/>
          <w:cols w:space="425" w:num="1"/>
          <w:docGrid w:linePitch="381" w:charSpace="0"/>
        </w:sectPr>
      </w:pPr>
    </w:p>
    <w:bookmarkEnd w:id="81"/>
    <w:p>
      <w:pPr>
        <w:pStyle w:val="3"/>
        <w:jc w:val="center"/>
        <w:rPr>
          <w:rFonts w:ascii="黑体" w:hAnsi="黑体" w:eastAsia="黑体"/>
          <w:sz w:val="32"/>
          <w:szCs w:val="32"/>
        </w:rPr>
      </w:pPr>
      <w:bookmarkStart w:id="82" w:name="_Toc89958976"/>
      <w:r>
        <w:rPr>
          <w:rFonts w:hint="eastAsia" w:ascii="黑体" w:hAnsi="黑体" w:eastAsia="黑体"/>
          <w:sz w:val="32"/>
          <w:szCs w:val="32"/>
        </w:rPr>
        <w:t>附件四：至“十三五”末全市化工园区消防概况</w:t>
      </w:r>
      <w:bookmarkEnd w:id="82"/>
    </w:p>
    <w:tbl>
      <w:tblPr>
        <w:tblStyle w:val="28"/>
        <w:tblW w:w="13462" w:type="dxa"/>
        <w:tblInd w:w="0" w:type="dxa"/>
        <w:tblLayout w:type="fixed"/>
        <w:tblCellMar>
          <w:top w:w="0" w:type="dxa"/>
          <w:left w:w="108" w:type="dxa"/>
          <w:bottom w:w="0" w:type="dxa"/>
          <w:right w:w="108" w:type="dxa"/>
        </w:tblCellMar>
      </w:tblPr>
      <w:tblGrid>
        <w:gridCol w:w="1702"/>
        <w:gridCol w:w="4440"/>
        <w:gridCol w:w="4485"/>
        <w:gridCol w:w="2835"/>
      </w:tblGrid>
      <w:tr>
        <w:tblPrEx>
          <w:tblCellMar>
            <w:top w:w="0" w:type="dxa"/>
            <w:left w:w="108" w:type="dxa"/>
            <w:bottom w:w="0" w:type="dxa"/>
            <w:right w:w="108" w:type="dxa"/>
          </w:tblCellMar>
        </w:tblPrEx>
        <w:trPr>
          <w:trHeight w:val="375" w:hRule="atLeast"/>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区域</w:t>
            </w:r>
          </w:p>
        </w:tc>
        <w:tc>
          <w:tcPr>
            <w:tcW w:w="4440"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园区概况</w:t>
            </w:r>
          </w:p>
        </w:tc>
        <w:tc>
          <w:tcPr>
            <w:tcW w:w="4485"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重大危险源情况</w:t>
            </w:r>
          </w:p>
        </w:tc>
        <w:tc>
          <w:tcPr>
            <w:tcW w:w="2835" w:type="dxa"/>
            <w:tcBorders>
              <w:top w:val="single" w:color="auto" w:sz="4" w:space="0"/>
              <w:left w:val="nil"/>
              <w:bottom w:val="single" w:color="auto" w:sz="4" w:space="0"/>
              <w:right w:val="single" w:color="auto" w:sz="4" w:space="0"/>
            </w:tcBorders>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消防队站建设情况</w:t>
            </w:r>
          </w:p>
        </w:tc>
      </w:tr>
      <w:tr>
        <w:tblPrEx>
          <w:tblCellMar>
            <w:top w:w="0" w:type="dxa"/>
            <w:left w:w="108" w:type="dxa"/>
            <w:bottom w:w="0" w:type="dxa"/>
            <w:right w:w="108" w:type="dxa"/>
          </w:tblCellMar>
        </w:tblPrEx>
        <w:trPr>
          <w:trHeight w:val="375" w:hRule="atLeast"/>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sz w:val="24"/>
                <w:szCs w:val="24"/>
                <w:lang w:val="en-US"/>
              </w:rPr>
              <w:t>天长化工园区</w:t>
            </w:r>
          </w:p>
        </w:tc>
        <w:tc>
          <w:tcPr>
            <w:tcW w:w="4440"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rPr>
                <w:rFonts w:ascii="仿宋" w:hAnsi="仿宋" w:eastAsia="仿宋" w:cs="宋体"/>
                <w:b/>
                <w:bCs/>
                <w:sz w:val="24"/>
                <w:szCs w:val="24"/>
                <w:lang w:val="en-US"/>
              </w:rPr>
            </w:pPr>
            <w:r>
              <w:rPr>
                <w:rFonts w:hint="eastAsia" w:ascii="仿宋" w:hAnsi="仿宋" w:eastAsia="仿宋" w:cs="宋体"/>
                <w:sz w:val="24"/>
                <w:szCs w:val="24"/>
                <w:lang w:val="en-US"/>
              </w:rPr>
              <w:t>市级工业园区，建成面积约2.35平方公里，各类化工企业35家（含</w:t>
            </w:r>
            <w:r>
              <w:rPr>
                <w:rFonts w:ascii="仿宋" w:hAnsi="仿宋" w:eastAsia="仿宋" w:cs="宋体"/>
                <w:sz w:val="24"/>
                <w:szCs w:val="24"/>
                <w:lang w:val="en-US"/>
              </w:rPr>
              <w:t>28</w:t>
            </w:r>
            <w:r>
              <w:rPr>
                <w:rFonts w:hint="eastAsia" w:ascii="仿宋" w:hAnsi="仿宋" w:eastAsia="仿宋" w:cs="宋体"/>
                <w:sz w:val="24"/>
                <w:szCs w:val="24"/>
                <w:lang w:val="en-US"/>
              </w:rPr>
              <w:t>家规划拟建企业）。</w:t>
            </w:r>
          </w:p>
        </w:tc>
        <w:tc>
          <w:tcPr>
            <w:tcW w:w="4485"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rPr>
                <w:rFonts w:ascii="仿宋" w:hAnsi="仿宋" w:eastAsia="仿宋" w:cs="宋体"/>
                <w:b/>
                <w:bCs/>
                <w:sz w:val="24"/>
                <w:szCs w:val="24"/>
                <w:lang w:val="en-US"/>
              </w:rPr>
            </w:pPr>
            <w:r>
              <w:rPr>
                <w:rFonts w:hint="eastAsia" w:ascii="仿宋" w:hAnsi="仿宋" w:eastAsia="仿宋" w:cs="宋体"/>
                <w:sz w:val="24"/>
                <w:szCs w:val="24"/>
                <w:lang w:val="en-US"/>
              </w:rPr>
              <w:t>一级危险源</w:t>
            </w:r>
            <w:r>
              <w:rPr>
                <w:rFonts w:ascii="仿宋" w:hAnsi="仿宋" w:eastAsia="仿宋" w:cs="宋体"/>
                <w:sz w:val="24"/>
                <w:szCs w:val="24"/>
                <w:lang w:val="en-US"/>
              </w:rPr>
              <w:t>1</w:t>
            </w:r>
            <w:r>
              <w:rPr>
                <w:rFonts w:hint="eastAsia" w:ascii="仿宋" w:hAnsi="仿宋" w:eastAsia="仿宋" w:cs="宋体"/>
                <w:sz w:val="24"/>
                <w:szCs w:val="24"/>
                <w:lang w:val="en-US"/>
              </w:rPr>
              <w:t>处，三级危险源</w:t>
            </w:r>
            <w:r>
              <w:rPr>
                <w:rFonts w:ascii="仿宋" w:hAnsi="仿宋" w:eastAsia="仿宋" w:cs="宋体"/>
                <w:sz w:val="24"/>
                <w:szCs w:val="24"/>
                <w:lang w:val="en-US"/>
              </w:rPr>
              <w:t>2</w:t>
            </w:r>
            <w:r>
              <w:rPr>
                <w:rFonts w:hint="eastAsia" w:ascii="仿宋" w:hAnsi="仿宋" w:eastAsia="仿宋" w:cs="宋体"/>
                <w:sz w:val="24"/>
                <w:szCs w:val="24"/>
                <w:lang w:val="en-US"/>
              </w:rPr>
              <w:t>处，甲乙类仓库共9座。</w:t>
            </w:r>
          </w:p>
        </w:tc>
        <w:tc>
          <w:tcPr>
            <w:tcW w:w="2835" w:type="dxa"/>
            <w:tcBorders>
              <w:top w:val="single" w:color="auto" w:sz="4" w:space="0"/>
              <w:left w:val="nil"/>
              <w:bottom w:val="single" w:color="auto" w:sz="4" w:space="0"/>
              <w:right w:val="single" w:color="auto" w:sz="4" w:space="0"/>
            </w:tcBorders>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无</w:t>
            </w:r>
          </w:p>
        </w:tc>
      </w:tr>
      <w:tr>
        <w:tblPrEx>
          <w:tblCellMar>
            <w:top w:w="0" w:type="dxa"/>
            <w:left w:w="108" w:type="dxa"/>
            <w:bottom w:w="0" w:type="dxa"/>
            <w:right w:w="108" w:type="dxa"/>
          </w:tblCellMar>
        </w:tblPrEx>
        <w:trPr>
          <w:trHeight w:val="375" w:hRule="atLeast"/>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明光化工园区</w:t>
            </w:r>
          </w:p>
        </w:tc>
        <w:tc>
          <w:tcPr>
            <w:tcW w:w="4440"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市级工业园区，建成面积约</w:t>
            </w:r>
            <w:r>
              <w:rPr>
                <w:rFonts w:ascii="仿宋" w:hAnsi="仿宋" w:eastAsia="仿宋" w:cs="宋体"/>
                <w:sz w:val="24"/>
                <w:szCs w:val="24"/>
                <w:lang w:val="en-US"/>
              </w:rPr>
              <w:t>3.75</w:t>
            </w:r>
            <w:r>
              <w:rPr>
                <w:rFonts w:hint="eastAsia" w:ascii="仿宋" w:hAnsi="仿宋" w:eastAsia="仿宋" w:cs="宋体"/>
                <w:sz w:val="24"/>
                <w:szCs w:val="24"/>
                <w:lang w:val="en-US"/>
              </w:rPr>
              <w:t>平方公里，各类化工企业31家（含25家在建和建成未投入使用的企业）。</w:t>
            </w:r>
          </w:p>
        </w:tc>
        <w:tc>
          <w:tcPr>
            <w:tcW w:w="4485"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二级危险源</w:t>
            </w:r>
            <w:r>
              <w:rPr>
                <w:rFonts w:ascii="仿宋" w:hAnsi="仿宋" w:eastAsia="仿宋" w:cs="宋体"/>
                <w:sz w:val="24"/>
                <w:szCs w:val="24"/>
                <w:lang w:val="en-US"/>
              </w:rPr>
              <w:t>1</w:t>
            </w:r>
            <w:r>
              <w:rPr>
                <w:rFonts w:hint="eastAsia" w:ascii="仿宋" w:hAnsi="仿宋" w:eastAsia="仿宋" w:cs="宋体"/>
                <w:sz w:val="24"/>
                <w:szCs w:val="24"/>
                <w:lang w:val="en-US"/>
              </w:rPr>
              <w:t>处，四级危险源</w:t>
            </w:r>
            <w:r>
              <w:rPr>
                <w:rFonts w:ascii="仿宋" w:hAnsi="仿宋" w:eastAsia="仿宋" w:cs="宋体"/>
                <w:sz w:val="24"/>
                <w:szCs w:val="24"/>
                <w:lang w:val="en-US"/>
              </w:rPr>
              <w:t>1</w:t>
            </w:r>
            <w:r>
              <w:rPr>
                <w:rFonts w:hint="eastAsia" w:ascii="仿宋" w:hAnsi="仿宋" w:eastAsia="仿宋" w:cs="宋体"/>
                <w:sz w:val="24"/>
                <w:szCs w:val="24"/>
                <w:lang w:val="en-US"/>
              </w:rPr>
              <w:t>处，甲乙类仓库共14座。</w:t>
            </w:r>
          </w:p>
        </w:tc>
        <w:tc>
          <w:tcPr>
            <w:tcW w:w="2835" w:type="dxa"/>
            <w:tcBorders>
              <w:top w:val="single" w:color="auto" w:sz="4" w:space="0"/>
              <w:left w:val="nil"/>
              <w:bottom w:val="single" w:color="auto" w:sz="4" w:space="0"/>
              <w:right w:val="single" w:color="auto" w:sz="4" w:space="0"/>
            </w:tcBorders>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建有园区专职消防队，水罐车2辆，专职消防员10名。</w:t>
            </w:r>
          </w:p>
        </w:tc>
      </w:tr>
      <w:tr>
        <w:tblPrEx>
          <w:tblCellMar>
            <w:top w:w="0" w:type="dxa"/>
            <w:left w:w="108" w:type="dxa"/>
            <w:bottom w:w="0" w:type="dxa"/>
            <w:right w:w="108" w:type="dxa"/>
          </w:tblCellMar>
        </w:tblPrEx>
        <w:trPr>
          <w:trHeight w:val="375" w:hRule="atLeast"/>
        </w:trPr>
        <w:tc>
          <w:tcPr>
            <w:tcW w:w="1702" w:type="dxa"/>
            <w:tcBorders>
              <w:top w:val="nil"/>
              <w:left w:val="single" w:color="auto" w:sz="4" w:space="0"/>
              <w:bottom w:val="single" w:color="000000" w:sz="4" w:space="0"/>
              <w:right w:val="single" w:color="auto" w:sz="4" w:space="0"/>
            </w:tcBorders>
            <w:shd w:val="clear" w:color="auto" w:fill="auto"/>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来安化工园区</w:t>
            </w:r>
          </w:p>
        </w:tc>
        <w:tc>
          <w:tcPr>
            <w:tcW w:w="4440" w:type="dxa"/>
            <w:tcBorders>
              <w:top w:val="nil"/>
              <w:left w:val="single" w:color="auto" w:sz="4" w:space="0"/>
              <w:bottom w:val="single" w:color="000000" w:sz="4" w:space="0"/>
              <w:right w:val="single" w:color="auto" w:sz="4" w:space="0"/>
            </w:tcBorders>
            <w:shd w:val="clear" w:color="auto" w:fill="auto"/>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市级工业园区，分为东、西两区，建成面积约</w:t>
            </w:r>
            <w:r>
              <w:rPr>
                <w:rFonts w:ascii="仿宋" w:hAnsi="仿宋" w:eastAsia="仿宋" w:cs="宋体"/>
                <w:sz w:val="24"/>
                <w:szCs w:val="24"/>
                <w:lang w:val="en-US"/>
              </w:rPr>
              <w:t>2.27</w:t>
            </w:r>
            <w:r>
              <w:rPr>
                <w:rFonts w:hint="eastAsia" w:ascii="仿宋" w:hAnsi="仿宋" w:eastAsia="仿宋" w:cs="宋体"/>
                <w:sz w:val="24"/>
                <w:szCs w:val="24"/>
                <w:lang w:val="en-US"/>
              </w:rPr>
              <w:t>平方公里，各类化工企业8家。</w:t>
            </w:r>
          </w:p>
        </w:tc>
        <w:tc>
          <w:tcPr>
            <w:tcW w:w="4485"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一级危险源2处，二级危险源6处，三级危险源23处，四级危险源17处，甲乙类仓库共23座。</w:t>
            </w:r>
          </w:p>
        </w:tc>
        <w:tc>
          <w:tcPr>
            <w:tcW w:w="2835" w:type="dxa"/>
            <w:tcBorders>
              <w:top w:val="nil"/>
              <w:left w:val="nil"/>
              <w:bottom w:val="single" w:color="auto" w:sz="4" w:space="0"/>
              <w:right w:val="single" w:color="auto" w:sz="4" w:space="0"/>
            </w:tcBorders>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金禾化工建立了企业专职消防队，高喷车1辆，泡沫车1辆，专职消防员12名。</w:t>
            </w:r>
          </w:p>
        </w:tc>
      </w:tr>
      <w:tr>
        <w:tblPrEx>
          <w:tblCellMar>
            <w:top w:w="0" w:type="dxa"/>
            <w:left w:w="108" w:type="dxa"/>
            <w:bottom w:w="0" w:type="dxa"/>
            <w:right w:w="108" w:type="dxa"/>
          </w:tblCellMar>
        </w:tblPrEx>
        <w:trPr>
          <w:trHeight w:val="375" w:hRule="atLeast"/>
        </w:trPr>
        <w:tc>
          <w:tcPr>
            <w:tcW w:w="1702" w:type="dxa"/>
            <w:tcBorders>
              <w:top w:val="nil"/>
              <w:left w:val="single" w:color="auto" w:sz="4" w:space="0"/>
              <w:bottom w:val="single" w:color="000000" w:sz="4" w:space="0"/>
              <w:right w:val="single" w:color="auto" w:sz="4" w:space="0"/>
            </w:tcBorders>
            <w:shd w:val="clear" w:color="auto" w:fill="auto"/>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全椒化工园区</w:t>
            </w:r>
          </w:p>
        </w:tc>
        <w:tc>
          <w:tcPr>
            <w:tcW w:w="4440"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市级工业园区，分为东、西两区，建成面积约</w:t>
            </w:r>
            <w:r>
              <w:rPr>
                <w:rFonts w:ascii="仿宋" w:hAnsi="仿宋" w:eastAsia="仿宋" w:cs="宋体"/>
                <w:sz w:val="24"/>
                <w:szCs w:val="24"/>
                <w:lang w:val="en-US"/>
              </w:rPr>
              <w:t>2.92</w:t>
            </w:r>
            <w:r>
              <w:rPr>
                <w:rFonts w:hint="eastAsia" w:ascii="仿宋" w:hAnsi="仿宋" w:eastAsia="仿宋" w:cs="宋体"/>
                <w:sz w:val="24"/>
                <w:szCs w:val="24"/>
                <w:lang w:val="en-US"/>
              </w:rPr>
              <w:t>平方公里，各类化工企业20家。</w:t>
            </w:r>
          </w:p>
        </w:tc>
        <w:tc>
          <w:tcPr>
            <w:tcW w:w="4485"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二级危险源</w:t>
            </w:r>
            <w:r>
              <w:rPr>
                <w:rFonts w:ascii="仿宋" w:hAnsi="仿宋" w:eastAsia="仿宋" w:cs="宋体"/>
                <w:sz w:val="24"/>
                <w:szCs w:val="24"/>
                <w:lang w:val="en-US"/>
              </w:rPr>
              <w:t>1</w:t>
            </w:r>
            <w:r>
              <w:rPr>
                <w:rFonts w:hint="eastAsia" w:ascii="仿宋" w:hAnsi="仿宋" w:eastAsia="仿宋" w:cs="宋体"/>
                <w:sz w:val="24"/>
                <w:szCs w:val="24"/>
                <w:lang w:val="en-US"/>
              </w:rPr>
              <w:t>处，三级危险源</w:t>
            </w:r>
            <w:r>
              <w:rPr>
                <w:rFonts w:ascii="仿宋" w:hAnsi="仿宋" w:eastAsia="仿宋" w:cs="宋体"/>
                <w:sz w:val="24"/>
                <w:szCs w:val="24"/>
                <w:lang w:val="en-US"/>
              </w:rPr>
              <w:t>1</w:t>
            </w:r>
            <w:r>
              <w:rPr>
                <w:rFonts w:hint="eastAsia" w:ascii="仿宋" w:hAnsi="仿宋" w:eastAsia="仿宋" w:cs="宋体"/>
                <w:sz w:val="24"/>
                <w:szCs w:val="24"/>
                <w:lang w:val="en-US"/>
              </w:rPr>
              <w:t>处，四级危险源</w:t>
            </w:r>
            <w:r>
              <w:rPr>
                <w:rFonts w:ascii="仿宋" w:hAnsi="仿宋" w:eastAsia="仿宋" w:cs="宋体"/>
                <w:sz w:val="24"/>
                <w:szCs w:val="24"/>
                <w:lang w:val="en-US"/>
              </w:rPr>
              <w:t>4</w:t>
            </w:r>
            <w:r>
              <w:rPr>
                <w:rFonts w:hint="eastAsia" w:ascii="仿宋" w:hAnsi="仿宋" w:eastAsia="仿宋" w:cs="宋体"/>
                <w:sz w:val="24"/>
                <w:szCs w:val="24"/>
                <w:lang w:val="en-US"/>
              </w:rPr>
              <w:t>处，甲乙类仓库共31座。</w:t>
            </w:r>
          </w:p>
        </w:tc>
        <w:tc>
          <w:tcPr>
            <w:tcW w:w="2835" w:type="dxa"/>
            <w:tcBorders>
              <w:top w:val="nil"/>
              <w:left w:val="nil"/>
              <w:bottom w:val="single" w:color="auto" w:sz="4" w:space="0"/>
              <w:right w:val="single" w:color="auto" w:sz="4" w:space="0"/>
            </w:tcBorders>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建有园区专职消防队，水罐车2辆，专职消防员10名。</w:t>
            </w:r>
          </w:p>
        </w:tc>
      </w:tr>
      <w:tr>
        <w:tblPrEx>
          <w:tblCellMar>
            <w:top w:w="0" w:type="dxa"/>
            <w:left w:w="108" w:type="dxa"/>
            <w:bottom w:w="0" w:type="dxa"/>
            <w:right w:w="108" w:type="dxa"/>
          </w:tblCellMar>
        </w:tblPrEx>
        <w:trPr>
          <w:trHeight w:val="375" w:hRule="atLeast"/>
        </w:trPr>
        <w:tc>
          <w:tcPr>
            <w:tcW w:w="1702" w:type="dxa"/>
            <w:tcBorders>
              <w:top w:val="nil"/>
              <w:left w:val="single" w:color="auto" w:sz="4" w:space="0"/>
              <w:bottom w:val="single" w:color="000000" w:sz="4" w:space="0"/>
              <w:right w:val="single" w:color="auto" w:sz="4" w:space="0"/>
            </w:tcBorders>
            <w:shd w:val="clear" w:color="auto" w:fill="auto"/>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定远化工园区</w:t>
            </w:r>
          </w:p>
        </w:tc>
        <w:tc>
          <w:tcPr>
            <w:tcW w:w="4440"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省级工业园区，全省四大化工基地之一，建成面积约</w:t>
            </w:r>
            <w:r>
              <w:rPr>
                <w:rFonts w:ascii="仿宋" w:hAnsi="仿宋" w:eastAsia="仿宋" w:cs="宋体"/>
                <w:sz w:val="24"/>
                <w:szCs w:val="24"/>
                <w:lang w:val="en-US"/>
              </w:rPr>
              <w:t>17.53</w:t>
            </w:r>
            <w:r>
              <w:rPr>
                <w:rFonts w:hint="eastAsia" w:ascii="仿宋" w:hAnsi="仿宋" w:eastAsia="仿宋" w:cs="宋体"/>
                <w:sz w:val="24"/>
                <w:szCs w:val="24"/>
                <w:lang w:val="en-US"/>
              </w:rPr>
              <w:t>平方公里，各类化工企业36家。</w:t>
            </w:r>
          </w:p>
        </w:tc>
        <w:tc>
          <w:tcPr>
            <w:tcW w:w="4485"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一级危险源6处，二级危险源4处，三级危险源17处，四级危险源13处，甲乙类仓库共58座。</w:t>
            </w:r>
          </w:p>
        </w:tc>
        <w:tc>
          <w:tcPr>
            <w:tcW w:w="2835" w:type="dxa"/>
            <w:tcBorders>
              <w:top w:val="nil"/>
              <w:left w:val="nil"/>
              <w:bottom w:val="single" w:color="auto" w:sz="4" w:space="0"/>
              <w:right w:val="single" w:color="auto" w:sz="4" w:space="0"/>
            </w:tcBorders>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建有园区专职消防队，消防车４辆（水罐车1辆，抢险救援车1辆，泡沫车1辆和举高喷射消防车1辆），专职消防员1</w:t>
            </w:r>
            <w:r>
              <w:rPr>
                <w:rFonts w:ascii="仿宋" w:hAnsi="仿宋" w:eastAsia="仿宋" w:cs="宋体"/>
                <w:sz w:val="24"/>
                <w:szCs w:val="24"/>
                <w:lang w:val="en-US"/>
              </w:rPr>
              <w:t>9</w:t>
            </w:r>
            <w:r>
              <w:rPr>
                <w:rFonts w:hint="eastAsia" w:ascii="仿宋" w:hAnsi="仿宋" w:eastAsia="仿宋" w:cs="宋体"/>
                <w:sz w:val="24"/>
                <w:szCs w:val="24"/>
                <w:lang w:val="en-US"/>
              </w:rPr>
              <w:t>名。</w:t>
            </w:r>
          </w:p>
        </w:tc>
      </w:tr>
    </w:tbl>
    <w:p>
      <w:pPr>
        <w:pStyle w:val="62"/>
        <w:shd w:val="clear" w:color="auto" w:fill="FFFFFF"/>
        <w:jc w:val="both"/>
        <w:rPr>
          <w:rFonts w:ascii="仿宋" w:hAnsi="仿宋" w:eastAsia="仿宋"/>
        </w:rPr>
      </w:pPr>
      <w:r>
        <w:rPr>
          <w:rFonts w:hint="eastAsia" w:ascii="仿宋" w:hAnsi="仿宋" w:eastAsia="仿宋"/>
        </w:rPr>
        <w:t>注：①各化工园区数据统计来源为《关于审定第一批安徽省化工园区名单的请求》（皖发改产业[2021]164号）及相关附件；②危险源分级参考中华人民共和国国家标准《危险化学品重大危险源辨识》(GB18218-2018)第4.3章“重大危险源的分级”，其中重大危险源根据其实际存量（吨）和相对应的临界量（吨），分为一级、二级、三级和四级，一级为最高级别。</w:t>
      </w:r>
    </w:p>
    <w:p>
      <w:pPr>
        <w:ind w:firstLine="560"/>
        <w:rPr>
          <w:lang w:val="en-US"/>
        </w:rPr>
        <w:sectPr>
          <w:pgSz w:w="16838" w:h="11906" w:orient="landscape"/>
          <w:pgMar w:top="1440" w:right="1800" w:bottom="1440" w:left="1800" w:header="680" w:footer="992" w:gutter="0"/>
          <w:cols w:space="425" w:num="1"/>
          <w:docGrid w:linePitch="381" w:charSpace="0"/>
        </w:sectPr>
      </w:pPr>
    </w:p>
    <w:p>
      <w:pPr>
        <w:pStyle w:val="3"/>
        <w:jc w:val="center"/>
        <w:rPr>
          <w:rFonts w:ascii="黑体" w:hAnsi="黑体" w:eastAsia="黑体"/>
          <w:sz w:val="32"/>
          <w:szCs w:val="32"/>
        </w:rPr>
      </w:pPr>
      <w:bookmarkStart w:id="83" w:name="_Toc89958977"/>
      <w:r>
        <w:rPr>
          <w:rFonts w:hint="eastAsia" w:ascii="黑体" w:hAnsi="黑体" w:eastAsia="黑体"/>
          <w:sz w:val="32"/>
          <w:szCs w:val="32"/>
        </w:rPr>
        <w:t>附件五：“十四五”时期主城区规划新增消防救援站及投资估算</w:t>
      </w:r>
      <w:bookmarkEnd w:id="83"/>
    </w:p>
    <w:tbl>
      <w:tblPr>
        <w:tblStyle w:val="28"/>
        <w:tblW w:w="13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5"/>
        <w:gridCol w:w="3828"/>
        <w:gridCol w:w="2284"/>
        <w:gridCol w:w="1559"/>
        <w:gridCol w:w="2126"/>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105" w:type="dxa"/>
            <w:vMerge w:val="restart"/>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区域</w:t>
            </w:r>
          </w:p>
        </w:tc>
        <w:tc>
          <w:tcPr>
            <w:tcW w:w="3828" w:type="dxa"/>
            <w:vMerge w:val="restart"/>
            <w:shd w:val="clear" w:color="auto" w:fill="auto"/>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消防站名称</w:t>
            </w:r>
          </w:p>
        </w:tc>
        <w:tc>
          <w:tcPr>
            <w:tcW w:w="2284" w:type="dxa"/>
            <w:vMerge w:val="restart"/>
            <w:shd w:val="clear" w:color="auto" w:fill="auto"/>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类别(一级站/二级站/特勤站/小型站)</w:t>
            </w:r>
          </w:p>
        </w:tc>
        <w:tc>
          <w:tcPr>
            <w:tcW w:w="3685" w:type="dxa"/>
            <w:gridSpan w:val="2"/>
            <w:tcBorders>
              <w:bottom w:val="single" w:color="auto" w:sz="4" w:space="0"/>
            </w:tcBorders>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项目投资</w:t>
            </w:r>
          </w:p>
        </w:tc>
        <w:tc>
          <w:tcPr>
            <w:tcW w:w="1332" w:type="dxa"/>
            <w:vMerge w:val="restart"/>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建设计划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105" w:type="dxa"/>
            <w:vMerge w:val="continue"/>
            <w:tcBorders>
              <w:bottom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p>
        </w:tc>
        <w:tc>
          <w:tcPr>
            <w:tcW w:w="3828" w:type="dxa"/>
            <w:vMerge w:val="continue"/>
            <w:tcBorders>
              <w:bottom w:val="single" w:color="auto" w:sz="4" w:space="0"/>
            </w:tcBorders>
            <w:shd w:val="clear" w:color="auto" w:fill="auto"/>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p>
        </w:tc>
        <w:tc>
          <w:tcPr>
            <w:tcW w:w="2284" w:type="dxa"/>
            <w:vMerge w:val="continue"/>
            <w:tcBorders>
              <w:bottom w:val="single" w:color="auto" w:sz="4" w:space="0"/>
            </w:tcBorders>
            <w:shd w:val="clear" w:color="auto" w:fill="auto"/>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p>
        </w:tc>
        <w:tc>
          <w:tcPr>
            <w:tcW w:w="1559" w:type="dxa"/>
            <w:tcBorders>
              <w:bottom w:val="single" w:color="auto" w:sz="4" w:space="0"/>
            </w:tcBorders>
            <w:vAlign w:val="center"/>
          </w:tcPr>
          <w:p>
            <w:pPr>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资金估算</w:t>
            </w:r>
          </w:p>
          <w:p>
            <w:pPr>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(万元)</w:t>
            </w:r>
          </w:p>
        </w:tc>
        <w:tc>
          <w:tcPr>
            <w:tcW w:w="2126" w:type="dxa"/>
            <w:tcBorders>
              <w:bottom w:val="single" w:color="auto" w:sz="4" w:space="0"/>
            </w:tcBorders>
            <w:vAlign w:val="center"/>
          </w:tcPr>
          <w:p>
            <w:pPr>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建设内容</w:t>
            </w:r>
          </w:p>
        </w:tc>
        <w:tc>
          <w:tcPr>
            <w:tcW w:w="1332" w:type="dxa"/>
            <w:vMerge w:val="continue"/>
            <w:tcBorders>
              <w:bottom w:val="single" w:color="auto" w:sz="4" w:space="0"/>
            </w:tcBorders>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5"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市级</w:t>
            </w:r>
          </w:p>
        </w:tc>
        <w:tc>
          <w:tcPr>
            <w:tcW w:w="3828"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航空消防救援站</w:t>
            </w:r>
          </w:p>
        </w:tc>
        <w:tc>
          <w:tcPr>
            <w:tcW w:w="228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航空消防救援站</w:t>
            </w:r>
          </w:p>
        </w:tc>
        <w:tc>
          <w:tcPr>
            <w:tcW w:w="1559" w:type="dxa"/>
            <w:tcBorders>
              <w:tr2bl w:val="single" w:color="auto" w:sz="4" w:space="0"/>
            </w:tcBorders>
            <w:shd w:val="clear" w:color="000000" w:fill="FFFFFF"/>
          </w:tcPr>
          <w:p>
            <w:pPr>
              <w:widowControl/>
              <w:autoSpaceDE/>
              <w:autoSpaceDN/>
              <w:adjustRightInd/>
              <w:spacing w:line="240" w:lineRule="auto"/>
              <w:ind w:leftChars="-36" w:hanging="100" w:hangingChars="42"/>
              <w:jc w:val="center"/>
              <w:rPr>
                <w:rFonts w:ascii="仿宋" w:hAnsi="仿宋" w:eastAsia="仿宋" w:cs="宋体"/>
                <w:sz w:val="24"/>
                <w:szCs w:val="24"/>
                <w:lang w:val="en-US"/>
              </w:rPr>
            </w:pPr>
          </w:p>
        </w:tc>
        <w:tc>
          <w:tcPr>
            <w:tcW w:w="2126" w:type="dxa"/>
            <w:tcBorders>
              <w:tr2bl w:val="single" w:color="auto" w:sz="4" w:space="0"/>
            </w:tcBorders>
            <w:shd w:val="clear" w:color="000000" w:fill="FFFFFF"/>
          </w:tcPr>
          <w:p>
            <w:pPr>
              <w:widowControl/>
              <w:autoSpaceDE/>
              <w:autoSpaceDN/>
              <w:adjustRightInd/>
              <w:spacing w:line="240" w:lineRule="auto"/>
              <w:ind w:leftChars="-36" w:hanging="100" w:hangingChars="42"/>
              <w:jc w:val="center"/>
              <w:rPr>
                <w:rFonts w:ascii="仿宋" w:hAnsi="仿宋" w:eastAsia="仿宋" w:cs="宋体"/>
                <w:sz w:val="24"/>
                <w:szCs w:val="24"/>
                <w:lang w:val="en-US"/>
              </w:rPr>
            </w:pPr>
          </w:p>
        </w:tc>
        <w:tc>
          <w:tcPr>
            <w:tcW w:w="1332"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02</w:t>
            </w:r>
            <w:r>
              <w:rPr>
                <w:rFonts w:hint="eastAsia" w:ascii="仿宋" w:hAnsi="仿宋" w:eastAsia="仿宋" w:cs="宋体"/>
                <w:sz w:val="24"/>
                <w:szCs w:val="24"/>
                <w:lang w:val="en-US"/>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5"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琅琊区</w:t>
            </w:r>
          </w:p>
        </w:tc>
        <w:tc>
          <w:tcPr>
            <w:tcW w:w="3828"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琅琊消防站（森林）</w:t>
            </w:r>
          </w:p>
        </w:tc>
        <w:tc>
          <w:tcPr>
            <w:tcW w:w="228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一级站</w:t>
            </w:r>
          </w:p>
        </w:tc>
        <w:tc>
          <w:tcPr>
            <w:tcW w:w="1559" w:type="dxa"/>
            <w:shd w:val="clear" w:color="000000" w:fill="FFFFFF"/>
            <w:vAlign w:val="center"/>
          </w:tcPr>
          <w:p>
            <w:pPr>
              <w:widowControl/>
              <w:autoSpaceDE/>
              <w:autoSpaceDN/>
              <w:adjustRightInd/>
              <w:spacing w:line="240" w:lineRule="auto"/>
              <w:ind w:leftChars="-36" w:hanging="100" w:hangingChars="42"/>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100</w:t>
            </w:r>
          </w:p>
        </w:tc>
        <w:tc>
          <w:tcPr>
            <w:tcW w:w="2126" w:type="dxa"/>
            <w:shd w:val="clear" w:color="000000" w:fill="FFFFFF"/>
          </w:tcPr>
          <w:p>
            <w:pPr>
              <w:widowControl/>
              <w:autoSpaceDE/>
              <w:autoSpaceDN/>
              <w:adjustRightInd/>
              <w:spacing w:line="240" w:lineRule="auto"/>
              <w:ind w:leftChars="-36" w:hanging="100" w:hangingChars="42"/>
              <w:rPr>
                <w:rFonts w:ascii="仿宋" w:hAnsi="仿宋" w:eastAsia="仿宋" w:cs="宋体"/>
                <w:sz w:val="24"/>
                <w:szCs w:val="24"/>
                <w:lang w:val="en-US"/>
              </w:rPr>
            </w:pPr>
            <w:r>
              <w:rPr>
                <w:rFonts w:hint="eastAsia" w:ascii="仿宋" w:hAnsi="仿宋" w:eastAsia="仿宋" w:cs="宋体"/>
                <w:sz w:val="24"/>
                <w:szCs w:val="24"/>
                <w:lang w:val="en-US"/>
              </w:rPr>
              <w:t>业务用房、训练场地及配套设施</w:t>
            </w:r>
          </w:p>
        </w:tc>
        <w:tc>
          <w:tcPr>
            <w:tcW w:w="1332"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023</w:t>
            </w:r>
            <w:r>
              <w:rPr>
                <w:rFonts w:hint="eastAsia" w:ascii="仿宋" w:hAnsi="仿宋" w:eastAsia="仿宋" w:cs="宋体"/>
                <w:sz w:val="24"/>
                <w:szCs w:val="24"/>
                <w:lang w:val="en-U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5" w:type="dxa"/>
            <w:vMerge w:val="restart"/>
            <w:shd w:val="clear" w:color="000000" w:fill="FFFFFF"/>
            <w:vAlign w:val="center"/>
          </w:tcPr>
          <w:p>
            <w:pPr>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南谯区</w:t>
            </w:r>
          </w:p>
        </w:tc>
        <w:tc>
          <w:tcPr>
            <w:tcW w:w="3828"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南谯消防站（森林）</w:t>
            </w:r>
          </w:p>
        </w:tc>
        <w:tc>
          <w:tcPr>
            <w:tcW w:w="228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二级站</w:t>
            </w:r>
          </w:p>
        </w:tc>
        <w:tc>
          <w:tcPr>
            <w:tcW w:w="1559" w:type="dxa"/>
            <w:shd w:val="clear" w:color="000000" w:fill="FFFFFF"/>
            <w:vAlign w:val="center"/>
          </w:tcPr>
          <w:p>
            <w:pPr>
              <w:widowControl/>
              <w:autoSpaceDE/>
              <w:autoSpaceDN/>
              <w:adjustRightInd/>
              <w:spacing w:line="240" w:lineRule="auto"/>
              <w:ind w:leftChars="-36" w:hanging="100" w:hangingChars="42"/>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300</w:t>
            </w:r>
          </w:p>
        </w:tc>
        <w:tc>
          <w:tcPr>
            <w:tcW w:w="2126" w:type="dxa"/>
            <w:shd w:val="clear" w:color="000000" w:fill="FFFFFF"/>
          </w:tcPr>
          <w:p>
            <w:pPr>
              <w:widowControl/>
              <w:autoSpaceDE/>
              <w:autoSpaceDN/>
              <w:adjustRightInd/>
              <w:spacing w:line="240" w:lineRule="auto"/>
              <w:ind w:leftChars="-36" w:hanging="100" w:hangingChars="42"/>
              <w:rPr>
                <w:rFonts w:ascii="仿宋" w:hAnsi="仿宋" w:eastAsia="仿宋" w:cs="宋体"/>
                <w:sz w:val="24"/>
                <w:szCs w:val="24"/>
                <w:lang w:val="en-US"/>
              </w:rPr>
            </w:pPr>
            <w:r>
              <w:rPr>
                <w:rFonts w:hint="eastAsia" w:ascii="仿宋" w:hAnsi="仿宋" w:eastAsia="仿宋" w:cs="宋体"/>
                <w:sz w:val="24"/>
                <w:szCs w:val="24"/>
                <w:lang w:val="en-US"/>
              </w:rPr>
              <w:t>业务用房、训练场地及配套设施</w:t>
            </w:r>
          </w:p>
        </w:tc>
        <w:tc>
          <w:tcPr>
            <w:tcW w:w="1332"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023</w:t>
            </w:r>
            <w:r>
              <w:rPr>
                <w:rFonts w:hint="eastAsia" w:ascii="仿宋" w:hAnsi="仿宋" w:eastAsia="仿宋" w:cs="宋体"/>
                <w:sz w:val="24"/>
                <w:szCs w:val="24"/>
                <w:lang w:val="en-U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5" w:type="dxa"/>
            <w:vMerge w:val="continue"/>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3828" w:type="dxa"/>
            <w:shd w:val="clear" w:color="000000" w:fill="FFFFFF"/>
            <w:noWrap/>
            <w:vAlign w:val="center"/>
          </w:tcPr>
          <w:p>
            <w:pPr>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浦口－南谯新型功能示范区消防站</w:t>
            </w:r>
          </w:p>
        </w:tc>
        <w:tc>
          <w:tcPr>
            <w:tcW w:w="2284" w:type="dxa"/>
            <w:shd w:val="clear" w:color="000000" w:fill="FFFFFF"/>
            <w:noWrap/>
            <w:vAlign w:val="center"/>
          </w:tcPr>
          <w:p>
            <w:pPr>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一级站</w:t>
            </w:r>
          </w:p>
        </w:tc>
        <w:tc>
          <w:tcPr>
            <w:tcW w:w="1559" w:type="dxa"/>
            <w:shd w:val="clear" w:color="000000" w:fill="FFFFFF"/>
            <w:vAlign w:val="center"/>
          </w:tcPr>
          <w:p>
            <w:pPr>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100</w:t>
            </w:r>
          </w:p>
        </w:tc>
        <w:tc>
          <w:tcPr>
            <w:tcW w:w="2126" w:type="dxa"/>
            <w:shd w:val="clear" w:color="000000" w:fill="FFFFFF"/>
          </w:tcPr>
          <w:p>
            <w:pPr>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业务用房、训练场地及配套设施</w:t>
            </w:r>
          </w:p>
        </w:tc>
        <w:tc>
          <w:tcPr>
            <w:tcW w:w="1332" w:type="dxa"/>
            <w:shd w:val="clear" w:color="000000" w:fill="FFFFFF"/>
            <w:vAlign w:val="center"/>
          </w:tcPr>
          <w:p>
            <w:pPr>
              <w:pStyle w:val="52"/>
              <w:ind w:left="-3" w:leftChars="-1" w:firstLine="0" w:firstLineChars="0"/>
              <w:jc w:val="center"/>
              <w:rPr>
                <w:rFonts w:ascii="仿宋" w:hAnsi="仿宋" w:eastAsia="仿宋" w:cs="宋体"/>
                <w:szCs w:val="24"/>
              </w:rPr>
            </w:pPr>
            <w:r>
              <w:rPr>
                <w:rFonts w:hint="eastAsia" w:ascii="仿宋" w:hAnsi="仿宋" w:eastAsia="仿宋" w:cs="宋体"/>
                <w:szCs w:val="24"/>
              </w:rPr>
              <w:t>2</w:t>
            </w:r>
            <w:r>
              <w:rPr>
                <w:rFonts w:ascii="仿宋" w:hAnsi="仿宋" w:eastAsia="仿宋" w:cs="宋体"/>
                <w:szCs w:val="24"/>
              </w:rPr>
              <w:t>025</w:t>
            </w:r>
            <w:r>
              <w:rPr>
                <w:rFonts w:hint="eastAsia" w:ascii="仿宋" w:hAnsi="仿宋" w:eastAsia="仿宋" w:cs="宋体"/>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5" w:type="dxa"/>
            <w:vMerge w:val="continue"/>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3828"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高教科创城消防站</w:t>
            </w:r>
          </w:p>
        </w:tc>
        <w:tc>
          <w:tcPr>
            <w:tcW w:w="228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一级站</w:t>
            </w:r>
          </w:p>
        </w:tc>
        <w:tc>
          <w:tcPr>
            <w:tcW w:w="1559"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100</w:t>
            </w:r>
          </w:p>
        </w:tc>
        <w:tc>
          <w:tcPr>
            <w:tcW w:w="2126" w:type="dxa"/>
            <w:shd w:val="clear" w:color="000000" w:fill="FFFFFF"/>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业务用房、训练场地及配套设施</w:t>
            </w:r>
          </w:p>
        </w:tc>
        <w:tc>
          <w:tcPr>
            <w:tcW w:w="1332"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022</w:t>
            </w:r>
            <w:r>
              <w:rPr>
                <w:rFonts w:hint="eastAsia" w:ascii="仿宋" w:hAnsi="仿宋" w:eastAsia="仿宋" w:cs="宋体"/>
                <w:sz w:val="24"/>
                <w:szCs w:val="24"/>
                <w:lang w:val="en-U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5" w:type="dxa"/>
            <w:vMerge w:val="continue"/>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3828"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明湖消防站</w:t>
            </w:r>
          </w:p>
        </w:tc>
        <w:tc>
          <w:tcPr>
            <w:tcW w:w="228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二级站</w:t>
            </w:r>
          </w:p>
        </w:tc>
        <w:tc>
          <w:tcPr>
            <w:tcW w:w="1559"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300</w:t>
            </w:r>
          </w:p>
        </w:tc>
        <w:tc>
          <w:tcPr>
            <w:tcW w:w="2126" w:type="dxa"/>
            <w:shd w:val="clear" w:color="000000" w:fill="FFFFFF"/>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业务用房、训练场地及配套设施</w:t>
            </w:r>
          </w:p>
        </w:tc>
        <w:tc>
          <w:tcPr>
            <w:tcW w:w="1332"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023</w:t>
            </w:r>
            <w:r>
              <w:rPr>
                <w:rFonts w:hint="eastAsia" w:ascii="仿宋" w:hAnsi="仿宋" w:eastAsia="仿宋" w:cs="宋体"/>
                <w:sz w:val="24"/>
                <w:szCs w:val="24"/>
                <w:lang w:val="en-U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5" w:type="dxa"/>
            <w:vMerge w:val="continue"/>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3828"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color w:val="262626" w:themeColor="text1" w:themeTint="D9"/>
                <w:sz w:val="24"/>
                <w:szCs w:val="24"/>
                <w:lang w:val="en-US"/>
                <w14:textFill>
                  <w14:solidFill>
                    <w14:schemeClr w14:val="tx1">
                      <w14:lumMod w14:val="85000"/>
                      <w14:lumOff w14:val="15000"/>
                    </w14:schemeClr>
                  </w14:solidFill>
                </w14:textFill>
              </w:rPr>
              <w:t>醉翁路消防站</w:t>
            </w:r>
          </w:p>
        </w:tc>
        <w:tc>
          <w:tcPr>
            <w:tcW w:w="228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一级站</w:t>
            </w:r>
          </w:p>
        </w:tc>
        <w:tc>
          <w:tcPr>
            <w:tcW w:w="1559"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100</w:t>
            </w:r>
          </w:p>
        </w:tc>
        <w:tc>
          <w:tcPr>
            <w:tcW w:w="2126" w:type="dxa"/>
            <w:shd w:val="clear" w:color="000000" w:fill="FFFFFF"/>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业务用房、训练场地及配套设施</w:t>
            </w:r>
          </w:p>
        </w:tc>
        <w:tc>
          <w:tcPr>
            <w:tcW w:w="1332"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022</w:t>
            </w:r>
            <w:r>
              <w:rPr>
                <w:rFonts w:hint="eastAsia" w:ascii="仿宋" w:hAnsi="仿宋" w:eastAsia="仿宋" w:cs="宋体"/>
                <w:sz w:val="24"/>
                <w:szCs w:val="24"/>
                <w:lang w:val="en-U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5" w:type="dxa"/>
            <w:vMerge w:val="restart"/>
            <w:vAlign w:val="center"/>
          </w:tcPr>
          <w:p>
            <w:pPr>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苏滁高新区</w:t>
            </w:r>
          </w:p>
        </w:tc>
        <w:tc>
          <w:tcPr>
            <w:tcW w:w="3828"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文忠路消防站</w:t>
            </w:r>
          </w:p>
        </w:tc>
        <w:tc>
          <w:tcPr>
            <w:tcW w:w="228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战勤保障站</w:t>
            </w:r>
          </w:p>
        </w:tc>
        <w:tc>
          <w:tcPr>
            <w:tcW w:w="1559"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3</w:t>
            </w:r>
            <w:r>
              <w:rPr>
                <w:rFonts w:ascii="仿宋" w:hAnsi="仿宋" w:eastAsia="仿宋" w:cs="宋体"/>
                <w:sz w:val="24"/>
                <w:szCs w:val="24"/>
                <w:lang w:val="en-US"/>
              </w:rPr>
              <w:t>000</w:t>
            </w:r>
          </w:p>
        </w:tc>
        <w:tc>
          <w:tcPr>
            <w:tcW w:w="2126" w:type="dxa"/>
            <w:shd w:val="clear" w:color="000000" w:fill="FFFFFF"/>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业务用房、训练场地及配套设施</w:t>
            </w:r>
          </w:p>
        </w:tc>
        <w:tc>
          <w:tcPr>
            <w:tcW w:w="1332"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023</w:t>
            </w:r>
            <w:r>
              <w:rPr>
                <w:rFonts w:hint="eastAsia" w:ascii="仿宋" w:hAnsi="仿宋" w:eastAsia="仿宋" w:cs="宋体"/>
                <w:sz w:val="24"/>
                <w:szCs w:val="24"/>
                <w:lang w:val="en-U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5" w:type="dxa"/>
            <w:vMerge w:val="continue"/>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3828"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color w:val="262626" w:themeColor="text1" w:themeTint="D9"/>
                <w:sz w:val="24"/>
                <w:szCs w:val="24"/>
                <w:lang w:val="en-US"/>
                <w14:textFill>
                  <w14:solidFill>
                    <w14:schemeClr w14:val="tx1">
                      <w14:lumMod w14:val="85000"/>
                      <w14:lumOff w14:val="15000"/>
                    </w14:schemeClr>
                  </w14:solidFill>
                </w14:textFill>
              </w:rPr>
              <w:t>大桥消防站</w:t>
            </w:r>
          </w:p>
        </w:tc>
        <w:tc>
          <w:tcPr>
            <w:tcW w:w="228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二级站</w:t>
            </w:r>
          </w:p>
        </w:tc>
        <w:tc>
          <w:tcPr>
            <w:tcW w:w="1559"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300</w:t>
            </w:r>
          </w:p>
        </w:tc>
        <w:tc>
          <w:tcPr>
            <w:tcW w:w="2126" w:type="dxa"/>
            <w:shd w:val="clear" w:color="000000" w:fill="FFFFFF"/>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业务用房、训练场地及配套设施</w:t>
            </w:r>
          </w:p>
        </w:tc>
        <w:tc>
          <w:tcPr>
            <w:tcW w:w="1332"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024</w:t>
            </w:r>
            <w:r>
              <w:rPr>
                <w:rFonts w:hint="eastAsia" w:ascii="仿宋" w:hAnsi="仿宋" w:eastAsia="仿宋" w:cs="宋体"/>
                <w:sz w:val="24"/>
                <w:szCs w:val="24"/>
                <w:lang w:val="en-U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5"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经开区</w:t>
            </w:r>
          </w:p>
        </w:tc>
        <w:tc>
          <w:tcPr>
            <w:tcW w:w="3828" w:type="dxa"/>
            <w:shd w:val="clear" w:color="000000" w:fill="FFFFFF"/>
            <w:noWrap/>
            <w:vAlign w:val="center"/>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常州路消防站</w:t>
            </w:r>
          </w:p>
        </w:tc>
        <w:tc>
          <w:tcPr>
            <w:tcW w:w="2284" w:type="dxa"/>
            <w:shd w:val="clear" w:color="000000" w:fill="FFFFFF"/>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特勤站</w:t>
            </w:r>
          </w:p>
        </w:tc>
        <w:tc>
          <w:tcPr>
            <w:tcW w:w="1559"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600</w:t>
            </w:r>
          </w:p>
        </w:tc>
        <w:tc>
          <w:tcPr>
            <w:tcW w:w="2126" w:type="dxa"/>
            <w:shd w:val="clear" w:color="000000" w:fill="FFFFFF"/>
          </w:tcPr>
          <w:p>
            <w:pPr>
              <w:widowControl/>
              <w:autoSpaceDE/>
              <w:autoSpaceDN/>
              <w:adjustRightInd/>
              <w:spacing w:line="240" w:lineRule="auto"/>
              <w:ind w:firstLine="0" w:firstLineChars="0"/>
              <w:rPr>
                <w:rFonts w:ascii="仿宋" w:hAnsi="仿宋" w:eastAsia="仿宋" w:cs="宋体"/>
                <w:sz w:val="24"/>
                <w:szCs w:val="24"/>
                <w:lang w:val="en-US"/>
              </w:rPr>
            </w:pPr>
            <w:r>
              <w:rPr>
                <w:rFonts w:hint="eastAsia" w:ascii="仿宋" w:hAnsi="仿宋" w:eastAsia="仿宋" w:cs="宋体"/>
                <w:sz w:val="24"/>
                <w:szCs w:val="24"/>
                <w:lang w:val="en-US"/>
              </w:rPr>
              <w:t>业务用房、训练场地及配套设施</w:t>
            </w:r>
          </w:p>
        </w:tc>
        <w:tc>
          <w:tcPr>
            <w:tcW w:w="1332" w:type="dxa"/>
            <w:shd w:val="clear" w:color="000000" w:fill="FFFFFF"/>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022</w:t>
            </w:r>
            <w:r>
              <w:rPr>
                <w:rFonts w:hint="eastAsia" w:ascii="仿宋" w:hAnsi="仿宋" w:eastAsia="仿宋" w:cs="宋体"/>
                <w:sz w:val="24"/>
                <w:szCs w:val="24"/>
                <w:lang w:val="en-US"/>
              </w:rPr>
              <w:t>年</w:t>
            </w:r>
          </w:p>
        </w:tc>
      </w:tr>
    </w:tbl>
    <w:p>
      <w:pPr>
        <w:pStyle w:val="62"/>
        <w:shd w:val="clear" w:color="auto" w:fill="FFFFFF"/>
        <w:jc w:val="both"/>
        <w:rPr>
          <w:rFonts w:ascii="仿宋" w:hAnsi="仿宋" w:eastAsia="仿宋"/>
          <w:color w:val="000000"/>
        </w:rPr>
        <w:sectPr>
          <w:pgSz w:w="16838" w:h="11906" w:orient="landscape"/>
          <w:pgMar w:top="1440" w:right="1797" w:bottom="1440" w:left="1797" w:header="680" w:footer="992" w:gutter="0"/>
          <w:cols w:space="425" w:num="1"/>
          <w:docGrid w:linePitch="381" w:charSpace="0"/>
        </w:sectPr>
      </w:pPr>
    </w:p>
    <w:p>
      <w:pPr>
        <w:pStyle w:val="3"/>
        <w:jc w:val="center"/>
        <w:rPr>
          <w:rFonts w:ascii="黑体" w:hAnsi="黑体" w:eastAsia="黑体"/>
          <w:sz w:val="32"/>
          <w:szCs w:val="32"/>
        </w:rPr>
      </w:pPr>
      <w:bookmarkStart w:id="84" w:name="_Toc89958978"/>
      <w:bookmarkStart w:id="85" w:name="_Hlk73954831"/>
      <w:r>
        <w:rPr>
          <w:rFonts w:hint="eastAsia" w:ascii="黑体" w:hAnsi="黑体" w:eastAsia="黑体"/>
          <w:sz w:val="32"/>
          <w:szCs w:val="32"/>
        </w:rPr>
        <w:t>附件六：“十四五”时期消防车辆预计报废统计表</w:t>
      </w:r>
      <w:bookmarkEnd w:id="84"/>
    </w:p>
    <w:bookmarkEnd w:id="85"/>
    <w:tbl>
      <w:tblPr>
        <w:tblStyle w:val="28"/>
        <w:tblW w:w="13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941"/>
        <w:gridCol w:w="1081"/>
        <w:gridCol w:w="1804"/>
        <w:gridCol w:w="1701"/>
        <w:gridCol w:w="1701"/>
        <w:gridCol w:w="1730"/>
        <w:gridCol w:w="1734"/>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序号</w:t>
            </w:r>
          </w:p>
        </w:tc>
        <w:tc>
          <w:tcPr>
            <w:tcW w:w="94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单位</w:t>
            </w:r>
          </w:p>
        </w:tc>
        <w:tc>
          <w:tcPr>
            <w:tcW w:w="108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消防车数量</w:t>
            </w:r>
          </w:p>
        </w:tc>
        <w:tc>
          <w:tcPr>
            <w:tcW w:w="1804"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2</w:t>
            </w:r>
            <w:r>
              <w:rPr>
                <w:rFonts w:ascii="仿宋" w:hAnsi="仿宋" w:eastAsia="仿宋" w:cs="宋体"/>
                <w:b/>
                <w:bCs/>
                <w:sz w:val="24"/>
                <w:szCs w:val="24"/>
                <w:lang w:val="en-US"/>
              </w:rPr>
              <w:t>021</w:t>
            </w:r>
            <w:r>
              <w:rPr>
                <w:rFonts w:hint="eastAsia" w:ascii="仿宋" w:hAnsi="仿宋" w:eastAsia="仿宋" w:cs="宋体"/>
                <w:b/>
                <w:bCs/>
                <w:sz w:val="24"/>
                <w:szCs w:val="24"/>
                <w:lang w:val="en-US"/>
              </w:rPr>
              <w:t>年</w:t>
            </w:r>
          </w:p>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预计报废数量</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2</w:t>
            </w:r>
            <w:r>
              <w:rPr>
                <w:rFonts w:ascii="仿宋" w:hAnsi="仿宋" w:eastAsia="仿宋" w:cs="宋体"/>
                <w:b/>
                <w:bCs/>
                <w:sz w:val="24"/>
                <w:szCs w:val="24"/>
                <w:lang w:val="en-US"/>
              </w:rPr>
              <w:t>022</w:t>
            </w:r>
            <w:r>
              <w:rPr>
                <w:rFonts w:hint="eastAsia" w:ascii="仿宋" w:hAnsi="仿宋" w:eastAsia="仿宋" w:cs="宋体"/>
                <w:b/>
                <w:bCs/>
                <w:sz w:val="24"/>
                <w:szCs w:val="24"/>
                <w:lang w:val="en-US"/>
              </w:rPr>
              <w:t>年</w:t>
            </w:r>
          </w:p>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预计报废数量</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2</w:t>
            </w:r>
            <w:r>
              <w:rPr>
                <w:rFonts w:ascii="仿宋" w:hAnsi="仿宋" w:eastAsia="仿宋" w:cs="宋体"/>
                <w:b/>
                <w:bCs/>
                <w:sz w:val="24"/>
                <w:szCs w:val="24"/>
                <w:lang w:val="en-US"/>
              </w:rPr>
              <w:t>023</w:t>
            </w:r>
            <w:r>
              <w:rPr>
                <w:rFonts w:hint="eastAsia" w:ascii="仿宋" w:hAnsi="仿宋" w:eastAsia="仿宋" w:cs="宋体"/>
                <w:b/>
                <w:bCs/>
                <w:sz w:val="24"/>
                <w:szCs w:val="24"/>
                <w:lang w:val="en-US"/>
              </w:rPr>
              <w:t>年</w:t>
            </w:r>
          </w:p>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预计报废数量</w:t>
            </w:r>
          </w:p>
        </w:tc>
        <w:tc>
          <w:tcPr>
            <w:tcW w:w="1730" w:type="dxa"/>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2</w:t>
            </w:r>
            <w:r>
              <w:rPr>
                <w:rFonts w:ascii="仿宋" w:hAnsi="仿宋" w:eastAsia="仿宋" w:cs="宋体"/>
                <w:b/>
                <w:bCs/>
                <w:sz w:val="24"/>
                <w:szCs w:val="24"/>
                <w:lang w:val="en-US"/>
              </w:rPr>
              <w:t>024</w:t>
            </w:r>
            <w:r>
              <w:rPr>
                <w:rFonts w:hint="eastAsia" w:ascii="仿宋" w:hAnsi="仿宋" w:eastAsia="仿宋" w:cs="宋体"/>
                <w:b/>
                <w:bCs/>
                <w:sz w:val="24"/>
                <w:szCs w:val="24"/>
                <w:lang w:val="en-US"/>
              </w:rPr>
              <w:t>年</w:t>
            </w:r>
          </w:p>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预计报废数量</w:t>
            </w:r>
          </w:p>
        </w:tc>
        <w:tc>
          <w:tcPr>
            <w:tcW w:w="1734" w:type="dxa"/>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2</w:t>
            </w:r>
            <w:r>
              <w:rPr>
                <w:rFonts w:ascii="仿宋" w:hAnsi="仿宋" w:eastAsia="仿宋" w:cs="宋体"/>
                <w:b/>
                <w:bCs/>
                <w:sz w:val="24"/>
                <w:szCs w:val="24"/>
                <w:lang w:val="en-US"/>
              </w:rPr>
              <w:t>025</w:t>
            </w:r>
            <w:r>
              <w:rPr>
                <w:rFonts w:hint="eastAsia" w:ascii="仿宋" w:hAnsi="仿宋" w:eastAsia="仿宋" w:cs="宋体"/>
                <w:b/>
                <w:bCs/>
                <w:sz w:val="24"/>
                <w:szCs w:val="24"/>
                <w:lang w:val="en-US"/>
              </w:rPr>
              <w:t>年</w:t>
            </w:r>
          </w:p>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预计报废数量</w:t>
            </w:r>
          </w:p>
        </w:tc>
        <w:tc>
          <w:tcPr>
            <w:tcW w:w="1497" w:type="dxa"/>
          </w:tcPr>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报废数量</w:t>
            </w:r>
          </w:p>
          <w:p>
            <w:pPr>
              <w:widowControl/>
              <w:autoSpaceDE/>
              <w:autoSpaceDN/>
              <w:adjustRightInd/>
              <w:spacing w:line="240" w:lineRule="auto"/>
              <w:ind w:firstLine="0" w:firstLineChars="0"/>
              <w:jc w:val="center"/>
              <w:rPr>
                <w:rFonts w:ascii="仿宋" w:hAnsi="仿宋" w:eastAsia="仿宋" w:cs="宋体"/>
                <w:b/>
                <w:bCs/>
                <w:sz w:val="24"/>
                <w:szCs w:val="24"/>
                <w:lang w:val="en-US"/>
              </w:rPr>
            </w:pPr>
            <w:r>
              <w:rPr>
                <w:rFonts w:hint="eastAsia" w:ascii="仿宋" w:hAnsi="仿宋" w:eastAsia="仿宋" w:cs="宋体"/>
                <w:b/>
                <w:bCs/>
                <w:sz w:val="24"/>
                <w:szCs w:val="24"/>
                <w:lang w:val="en-US"/>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94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支队</w:t>
            </w:r>
          </w:p>
        </w:tc>
        <w:tc>
          <w:tcPr>
            <w:tcW w:w="108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w:t>
            </w:r>
          </w:p>
        </w:tc>
        <w:tc>
          <w:tcPr>
            <w:tcW w:w="1804"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30" w:type="dxa"/>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34" w:type="dxa"/>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49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2</w:t>
            </w:r>
          </w:p>
        </w:tc>
        <w:tc>
          <w:tcPr>
            <w:tcW w:w="94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战保</w:t>
            </w:r>
          </w:p>
        </w:tc>
        <w:tc>
          <w:tcPr>
            <w:tcW w:w="108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5</w:t>
            </w:r>
          </w:p>
        </w:tc>
        <w:tc>
          <w:tcPr>
            <w:tcW w:w="1804"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1</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1</w:t>
            </w:r>
          </w:p>
        </w:tc>
        <w:tc>
          <w:tcPr>
            <w:tcW w:w="1730" w:type="dxa"/>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734" w:type="dxa"/>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49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3</w:t>
            </w:r>
          </w:p>
        </w:tc>
        <w:tc>
          <w:tcPr>
            <w:tcW w:w="94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琅琊</w:t>
            </w:r>
          </w:p>
        </w:tc>
        <w:tc>
          <w:tcPr>
            <w:tcW w:w="108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10</w:t>
            </w:r>
          </w:p>
        </w:tc>
        <w:tc>
          <w:tcPr>
            <w:tcW w:w="1804"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3</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1</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730" w:type="dxa"/>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34" w:type="dxa"/>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49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4</w:t>
            </w:r>
          </w:p>
        </w:tc>
        <w:tc>
          <w:tcPr>
            <w:tcW w:w="94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特勤</w:t>
            </w:r>
          </w:p>
        </w:tc>
        <w:tc>
          <w:tcPr>
            <w:tcW w:w="108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7</w:t>
            </w:r>
          </w:p>
        </w:tc>
        <w:tc>
          <w:tcPr>
            <w:tcW w:w="1804"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2</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30" w:type="dxa"/>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734" w:type="dxa"/>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49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5</w:t>
            </w:r>
          </w:p>
        </w:tc>
        <w:tc>
          <w:tcPr>
            <w:tcW w:w="94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南谯</w:t>
            </w:r>
          </w:p>
        </w:tc>
        <w:tc>
          <w:tcPr>
            <w:tcW w:w="108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7</w:t>
            </w:r>
          </w:p>
        </w:tc>
        <w:tc>
          <w:tcPr>
            <w:tcW w:w="1804"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730" w:type="dxa"/>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34" w:type="dxa"/>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149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6</w:t>
            </w:r>
          </w:p>
        </w:tc>
        <w:tc>
          <w:tcPr>
            <w:tcW w:w="94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经开</w:t>
            </w:r>
          </w:p>
        </w:tc>
        <w:tc>
          <w:tcPr>
            <w:tcW w:w="108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6</w:t>
            </w:r>
          </w:p>
        </w:tc>
        <w:tc>
          <w:tcPr>
            <w:tcW w:w="1804"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730" w:type="dxa"/>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34" w:type="dxa"/>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49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7</w:t>
            </w:r>
          </w:p>
        </w:tc>
        <w:tc>
          <w:tcPr>
            <w:tcW w:w="94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天长</w:t>
            </w:r>
          </w:p>
        </w:tc>
        <w:tc>
          <w:tcPr>
            <w:tcW w:w="108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4</w:t>
            </w:r>
          </w:p>
        </w:tc>
        <w:tc>
          <w:tcPr>
            <w:tcW w:w="1804"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730" w:type="dxa"/>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34" w:type="dxa"/>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49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8</w:t>
            </w:r>
          </w:p>
        </w:tc>
        <w:tc>
          <w:tcPr>
            <w:tcW w:w="94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明光</w:t>
            </w:r>
          </w:p>
        </w:tc>
        <w:tc>
          <w:tcPr>
            <w:tcW w:w="108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11</w:t>
            </w:r>
          </w:p>
        </w:tc>
        <w:tc>
          <w:tcPr>
            <w:tcW w:w="1804"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730" w:type="dxa"/>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34" w:type="dxa"/>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49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9</w:t>
            </w:r>
          </w:p>
        </w:tc>
        <w:tc>
          <w:tcPr>
            <w:tcW w:w="94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来安</w:t>
            </w:r>
          </w:p>
        </w:tc>
        <w:tc>
          <w:tcPr>
            <w:tcW w:w="108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1</w:t>
            </w:r>
          </w:p>
        </w:tc>
        <w:tc>
          <w:tcPr>
            <w:tcW w:w="1804"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30" w:type="dxa"/>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734" w:type="dxa"/>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49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10</w:t>
            </w:r>
          </w:p>
        </w:tc>
        <w:tc>
          <w:tcPr>
            <w:tcW w:w="94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全椒</w:t>
            </w:r>
          </w:p>
        </w:tc>
        <w:tc>
          <w:tcPr>
            <w:tcW w:w="108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7</w:t>
            </w:r>
          </w:p>
        </w:tc>
        <w:tc>
          <w:tcPr>
            <w:tcW w:w="1804"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730" w:type="dxa"/>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734" w:type="dxa"/>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49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1</w:t>
            </w:r>
          </w:p>
        </w:tc>
        <w:tc>
          <w:tcPr>
            <w:tcW w:w="94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定远</w:t>
            </w:r>
          </w:p>
        </w:tc>
        <w:tc>
          <w:tcPr>
            <w:tcW w:w="108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6</w:t>
            </w:r>
          </w:p>
        </w:tc>
        <w:tc>
          <w:tcPr>
            <w:tcW w:w="1804"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30" w:type="dxa"/>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34" w:type="dxa"/>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49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12</w:t>
            </w:r>
          </w:p>
        </w:tc>
        <w:tc>
          <w:tcPr>
            <w:tcW w:w="94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凤阳</w:t>
            </w:r>
          </w:p>
        </w:tc>
        <w:tc>
          <w:tcPr>
            <w:tcW w:w="108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1</w:t>
            </w:r>
          </w:p>
        </w:tc>
        <w:tc>
          <w:tcPr>
            <w:tcW w:w="1804"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730" w:type="dxa"/>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734" w:type="dxa"/>
          </w:tcPr>
          <w:p>
            <w:pPr>
              <w:widowControl/>
              <w:autoSpaceDE/>
              <w:autoSpaceDN/>
              <w:adjustRightInd/>
              <w:spacing w:line="240" w:lineRule="auto"/>
              <w:ind w:firstLine="0" w:firstLineChars="0"/>
              <w:jc w:val="center"/>
              <w:rPr>
                <w:rFonts w:ascii="仿宋" w:hAnsi="仿宋" w:eastAsia="仿宋" w:cs="宋体"/>
                <w:sz w:val="24"/>
                <w:szCs w:val="24"/>
                <w:lang w:val="en-US"/>
              </w:rPr>
            </w:pPr>
          </w:p>
        </w:tc>
        <w:tc>
          <w:tcPr>
            <w:tcW w:w="149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3</w:t>
            </w:r>
          </w:p>
        </w:tc>
        <w:tc>
          <w:tcPr>
            <w:tcW w:w="94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合计</w:t>
            </w:r>
          </w:p>
        </w:tc>
        <w:tc>
          <w:tcPr>
            <w:tcW w:w="108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19</w:t>
            </w:r>
          </w:p>
        </w:tc>
        <w:tc>
          <w:tcPr>
            <w:tcW w:w="1804"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19</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9</w:t>
            </w:r>
          </w:p>
        </w:tc>
        <w:tc>
          <w:tcPr>
            <w:tcW w:w="1701" w:type="dxa"/>
            <w:shd w:val="clear" w:color="auto" w:fill="auto"/>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6</w:t>
            </w:r>
          </w:p>
        </w:tc>
        <w:tc>
          <w:tcPr>
            <w:tcW w:w="1730"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7</w:t>
            </w:r>
          </w:p>
        </w:tc>
        <w:tc>
          <w:tcPr>
            <w:tcW w:w="1734"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w:t>
            </w:r>
          </w:p>
        </w:tc>
        <w:tc>
          <w:tcPr>
            <w:tcW w:w="1497" w:type="dxa"/>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45</w:t>
            </w:r>
          </w:p>
        </w:tc>
      </w:tr>
    </w:tbl>
    <w:p>
      <w:pPr>
        <w:pStyle w:val="3"/>
        <w:jc w:val="center"/>
        <w:rPr>
          <w:rFonts w:ascii="黑体" w:hAnsi="黑体" w:eastAsia="黑体"/>
          <w:sz w:val="32"/>
          <w:szCs w:val="32"/>
        </w:rPr>
      </w:pPr>
      <w:bookmarkStart w:id="86" w:name="_Toc89958979"/>
      <w:r>
        <w:rPr>
          <w:rFonts w:hint="eastAsia" w:ascii="黑体" w:hAnsi="黑体" w:eastAsia="黑体"/>
          <w:sz w:val="32"/>
          <w:szCs w:val="32"/>
        </w:rPr>
        <w:t>附件七：“十四五”时期消防救援车辆及装备增配规划</w:t>
      </w:r>
      <w:bookmarkEnd w:id="86"/>
    </w:p>
    <w:tbl>
      <w:tblPr>
        <w:tblStyle w:val="28"/>
        <w:tblW w:w="14080" w:type="dxa"/>
        <w:tblInd w:w="-10" w:type="dxa"/>
        <w:tblLayout w:type="autofit"/>
        <w:tblCellMar>
          <w:top w:w="0" w:type="dxa"/>
          <w:left w:w="108" w:type="dxa"/>
          <w:bottom w:w="0" w:type="dxa"/>
          <w:right w:w="108" w:type="dxa"/>
        </w:tblCellMar>
      </w:tblPr>
      <w:tblGrid>
        <w:gridCol w:w="1418"/>
        <w:gridCol w:w="3260"/>
        <w:gridCol w:w="1181"/>
        <w:gridCol w:w="1181"/>
        <w:gridCol w:w="1181"/>
        <w:gridCol w:w="1134"/>
        <w:gridCol w:w="1181"/>
        <w:gridCol w:w="992"/>
        <w:gridCol w:w="1134"/>
        <w:gridCol w:w="1418"/>
      </w:tblGrid>
      <w:tr>
        <w:tblPrEx>
          <w:tblCellMar>
            <w:top w:w="0" w:type="dxa"/>
            <w:left w:w="108" w:type="dxa"/>
            <w:bottom w:w="0" w:type="dxa"/>
            <w:right w:w="108" w:type="dxa"/>
          </w:tblCellMar>
        </w:tblPrEx>
        <w:trPr>
          <w:trHeight w:val="624" w:hRule="atLeast"/>
        </w:trPr>
        <w:tc>
          <w:tcPr>
            <w:tcW w:w="4678" w:type="dxa"/>
            <w:gridSpan w:val="2"/>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color w:val="000000"/>
                <w:sz w:val="24"/>
                <w:szCs w:val="24"/>
                <w:lang w:val="en-US"/>
              </w:rPr>
            </w:pPr>
            <w:r>
              <w:rPr>
                <w:rFonts w:hint="eastAsia" w:ascii="仿宋" w:hAnsi="仿宋" w:eastAsia="仿宋" w:cs="宋体"/>
                <w:b/>
                <w:bCs/>
                <w:color w:val="000000"/>
                <w:sz w:val="24"/>
                <w:szCs w:val="24"/>
                <w:lang w:val="en-US"/>
              </w:rPr>
              <w:t>　消防车辆类型</w:t>
            </w:r>
          </w:p>
        </w:tc>
        <w:tc>
          <w:tcPr>
            <w:tcW w:w="1181"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color w:val="000000"/>
                <w:sz w:val="24"/>
                <w:szCs w:val="24"/>
                <w:lang w:val="en-US"/>
              </w:rPr>
            </w:pPr>
            <w:r>
              <w:rPr>
                <w:rFonts w:hint="eastAsia" w:ascii="仿宋" w:hAnsi="仿宋" w:eastAsia="仿宋" w:cs="宋体"/>
                <w:b/>
                <w:bCs/>
                <w:color w:val="000000"/>
                <w:sz w:val="24"/>
                <w:szCs w:val="24"/>
                <w:lang w:val="en-US"/>
              </w:rPr>
              <w:t>2021年</w:t>
            </w:r>
          </w:p>
        </w:tc>
        <w:tc>
          <w:tcPr>
            <w:tcW w:w="1181"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color w:val="000000"/>
                <w:sz w:val="24"/>
                <w:szCs w:val="24"/>
                <w:lang w:val="en-US"/>
              </w:rPr>
            </w:pPr>
            <w:r>
              <w:rPr>
                <w:rFonts w:hint="eastAsia" w:ascii="仿宋" w:hAnsi="仿宋" w:eastAsia="仿宋" w:cs="宋体"/>
                <w:b/>
                <w:bCs/>
                <w:color w:val="000000"/>
                <w:sz w:val="24"/>
                <w:szCs w:val="24"/>
                <w:lang w:val="en-US"/>
              </w:rPr>
              <w:t>2022年</w:t>
            </w:r>
          </w:p>
        </w:tc>
        <w:tc>
          <w:tcPr>
            <w:tcW w:w="1181"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color w:val="000000"/>
                <w:sz w:val="24"/>
                <w:szCs w:val="24"/>
                <w:lang w:val="en-US"/>
              </w:rPr>
            </w:pPr>
            <w:r>
              <w:rPr>
                <w:rFonts w:hint="eastAsia" w:ascii="仿宋" w:hAnsi="仿宋" w:eastAsia="仿宋" w:cs="宋体"/>
                <w:b/>
                <w:bCs/>
                <w:color w:val="000000"/>
                <w:sz w:val="24"/>
                <w:szCs w:val="24"/>
                <w:lang w:val="en-US"/>
              </w:rPr>
              <w:t>2023年</w:t>
            </w:r>
          </w:p>
        </w:tc>
        <w:tc>
          <w:tcPr>
            <w:tcW w:w="1134"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color w:val="000000"/>
                <w:sz w:val="24"/>
                <w:szCs w:val="24"/>
                <w:lang w:val="en-US"/>
              </w:rPr>
            </w:pPr>
            <w:r>
              <w:rPr>
                <w:rFonts w:hint="eastAsia" w:ascii="仿宋" w:hAnsi="仿宋" w:eastAsia="仿宋" w:cs="宋体"/>
                <w:b/>
                <w:bCs/>
                <w:color w:val="000000"/>
                <w:sz w:val="24"/>
                <w:szCs w:val="24"/>
                <w:lang w:val="en-US"/>
              </w:rPr>
              <w:t>2024年</w:t>
            </w:r>
          </w:p>
        </w:tc>
        <w:tc>
          <w:tcPr>
            <w:tcW w:w="1181"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color w:val="000000"/>
                <w:sz w:val="24"/>
                <w:szCs w:val="24"/>
                <w:lang w:val="en-US"/>
              </w:rPr>
            </w:pPr>
            <w:r>
              <w:rPr>
                <w:rFonts w:hint="eastAsia" w:ascii="仿宋" w:hAnsi="仿宋" w:eastAsia="仿宋" w:cs="宋体"/>
                <w:b/>
                <w:bCs/>
                <w:color w:val="000000"/>
                <w:sz w:val="24"/>
                <w:szCs w:val="24"/>
                <w:lang w:val="en-US"/>
              </w:rPr>
              <w:t>2025年</w:t>
            </w:r>
          </w:p>
        </w:tc>
        <w:tc>
          <w:tcPr>
            <w:tcW w:w="992"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b/>
                <w:bCs/>
                <w:color w:val="000000"/>
                <w:sz w:val="24"/>
                <w:szCs w:val="24"/>
                <w:lang w:val="en-US"/>
              </w:rPr>
            </w:pPr>
            <w:r>
              <w:rPr>
                <w:rFonts w:hint="eastAsia" w:ascii="仿宋" w:hAnsi="仿宋" w:eastAsia="仿宋" w:cs="宋体"/>
                <w:b/>
                <w:bCs/>
                <w:color w:val="000000"/>
                <w:sz w:val="24"/>
                <w:szCs w:val="24"/>
                <w:lang w:val="en-US"/>
              </w:rPr>
              <w:t>合计</w:t>
            </w:r>
          </w:p>
        </w:tc>
        <w:tc>
          <w:tcPr>
            <w:tcW w:w="113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autoSpaceDE/>
              <w:autoSpaceDN/>
              <w:adjustRightInd/>
              <w:spacing w:line="240" w:lineRule="auto"/>
              <w:ind w:firstLine="0" w:firstLineChars="0"/>
              <w:jc w:val="center"/>
              <w:rPr>
                <w:rFonts w:ascii="仿宋" w:hAnsi="仿宋" w:eastAsia="仿宋" w:cs="宋体"/>
                <w:b/>
                <w:bCs/>
                <w:color w:val="000000"/>
                <w:sz w:val="24"/>
                <w:szCs w:val="24"/>
                <w:lang w:val="en-US"/>
              </w:rPr>
            </w:pPr>
            <w:r>
              <w:rPr>
                <w:rFonts w:hint="eastAsia" w:ascii="仿宋" w:hAnsi="仿宋" w:eastAsia="仿宋" w:cs="宋体"/>
                <w:b/>
                <w:bCs/>
                <w:color w:val="000000"/>
                <w:sz w:val="24"/>
                <w:szCs w:val="24"/>
                <w:lang w:val="en-US"/>
              </w:rPr>
              <w:t>单价</w:t>
            </w:r>
          </w:p>
          <w:p>
            <w:pPr>
              <w:widowControl/>
              <w:autoSpaceDE/>
              <w:autoSpaceDN/>
              <w:adjustRightInd/>
              <w:spacing w:line="240" w:lineRule="auto"/>
              <w:ind w:firstLine="0" w:firstLineChars="0"/>
              <w:jc w:val="center"/>
              <w:rPr>
                <w:rFonts w:ascii="仿宋" w:hAnsi="仿宋" w:eastAsia="仿宋" w:cs="宋体"/>
                <w:b/>
                <w:bCs/>
                <w:color w:val="000000"/>
                <w:sz w:val="24"/>
                <w:szCs w:val="24"/>
                <w:lang w:val="en-US"/>
              </w:rPr>
            </w:pPr>
            <w:r>
              <w:rPr>
                <w:rFonts w:hint="eastAsia" w:ascii="仿宋" w:hAnsi="仿宋" w:eastAsia="仿宋" w:cs="宋体"/>
                <w:b/>
                <w:bCs/>
                <w:color w:val="000000"/>
                <w:sz w:val="24"/>
                <w:szCs w:val="24"/>
                <w:lang w:val="en-US"/>
              </w:rPr>
              <w:t>(万元）</w:t>
            </w:r>
          </w:p>
        </w:tc>
        <w:tc>
          <w:tcPr>
            <w:tcW w:w="141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autoSpaceDE/>
              <w:autoSpaceDN/>
              <w:adjustRightInd/>
              <w:spacing w:line="240" w:lineRule="auto"/>
              <w:ind w:firstLine="0" w:firstLineChars="0"/>
              <w:jc w:val="center"/>
              <w:rPr>
                <w:rFonts w:ascii="仿宋" w:hAnsi="仿宋" w:eastAsia="仿宋" w:cs="宋体"/>
                <w:b/>
                <w:bCs/>
                <w:color w:val="000000"/>
                <w:sz w:val="24"/>
                <w:szCs w:val="24"/>
                <w:lang w:val="en-US"/>
              </w:rPr>
            </w:pPr>
            <w:r>
              <w:rPr>
                <w:rFonts w:hint="eastAsia" w:ascii="仿宋" w:hAnsi="仿宋" w:eastAsia="仿宋" w:cs="宋体"/>
                <w:b/>
                <w:bCs/>
                <w:color w:val="000000"/>
                <w:sz w:val="24"/>
                <w:szCs w:val="24"/>
                <w:lang w:val="en-US"/>
              </w:rPr>
              <w:t>合计</w:t>
            </w:r>
          </w:p>
          <w:p>
            <w:pPr>
              <w:widowControl/>
              <w:autoSpaceDE/>
              <w:autoSpaceDN/>
              <w:adjustRightInd/>
              <w:spacing w:line="240" w:lineRule="auto"/>
              <w:ind w:firstLine="0" w:firstLineChars="0"/>
              <w:jc w:val="center"/>
              <w:rPr>
                <w:rFonts w:ascii="仿宋" w:hAnsi="仿宋" w:eastAsia="仿宋" w:cs="宋体"/>
                <w:b/>
                <w:bCs/>
                <w:color w:val="000000"/>
                <w:sz w:val="24"/>
                <w:szCs w:val="24"/>
                <w:lang w:val="en-US"/>
              </w:rPr>
            </w:pPr>
            <w:r>
              <w:rPr>
                <w:rFonts w:hint="eastAsia" w:ascii="仿宋" w:hAnsi="仿宋" w:eastAsia="仿宋" w:cs="宋体"/>
                <w:b/>
                <w:bCs/>
                <w:color w:val="000000"/>
                <w:sz w:val="24"/>
                <w:szCs w:val="24"/>
                <w:lang w:val="en-US"/>
              </w:rPr>
              <w:t>（万元）</w:t>
            </w:r>
          </w:p>
        </w:tc>
      </w:tr>
      <w:tr>
        <w:tblPrEx>
          <w:tblCellMar>
            <w:top w:w="0" w:type="dxa"/>
            <w:left w:w="108" w:type="dxa"/>
            <w:bottom w:w="0" w:type="dxa"/>
            <w:right w:w="108" w:type="dxa"/>
          </w:tblCellMar>
        </w:tblPrEx>
        <w:trPr>
          <w:trHeight w:val="363" w:hRule="atLeast"/>
        </w:trPr>
        <w:tc>
          <w:tcPr>
            <w:tcW w:w="4678"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hAnsi="宋体" w:eastAsia="宋体" w:cs="宋体"/>
                <w:b/>
                <w:bCs/>
                <w:color w:val="000000"/>
                <w:sz w:val="22"/>
                <w:szCs w:val="22"/>
                <w:lang w:val="en-US"/>
              </w:rPr>
            </w:pPr>
          </w:p>
        </w:tc>
        <w:tc>
          <w:tcPr>
            <w:tcW w:w="1181"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hAnsi="宋体" w:eastAsia="宋体" w:cs="宋体"/>
                <w:b/>
                <w:bCs/>
                <w:color w:val="000000"/>
                <w:sz w:val="22"/>
                <w:szCs w:val="22"/>
                <w:lang w:val="en-US"/>
              </w:rPr>
            </w:pPr>
          </w:p>
        </w:tc>
        <w:tc>
          <w:tcPr>
            <w:tcW w:w="1181"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hAnsi="宋体" w:eastAsia="宋体" w:cs="宋体"/>
                <w:b/>
                <w:bCs/>
                <w:color w:val="000000"/>
                <w:sz w:val="22"/>
                <w:szCs w:val="22"/>
                <w:lang w:val="en-US"/>
              </w:rPr>
            </w:pPr>
          </w:p>
        </w:tc>
        <w:tc>
          <w:tcPr>
            <w:tcW w:w="1181"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hAnsi="宋体" w:eastAsia="宋体" w:cs="宋体"/>
                <w:b/>
                <w:bCs/>
                <w:color w:val="000000"/>
                <w:sz w:val="22"/>
                <w:szCs w:val="22"/>
                <w:lang w:val="en-US"/>
              </w:rPr>
            </w:pP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hAnsi="宋体" w:eastAsia="宋体" w:cs="宋体"/>
                <w:b/>
                <w:bCs/>
                <w:color w:val="000000"/>
                <w:sz w:val="22"/>
                <w:szCs w:val="22"/>
                <w:lang w:val="en-US"/>
              </w:rPr>
            </w:pPr>
          </w:p>
        </w:tc>
        <w:tc>
          <w:tcPr>
            <w:tcW w:w="1181"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hAnsi="宋体" w:eastAsia="宋体" w:cs="宋体"/>
                <w:b/>
                <w:bCs/>
                <w:color w:val="000000"/>
                <w:sz w:val="22"/>
                <w:szCs w:val="22"/>
                <w:lang w:val="en-US"/>
              </w:rPr>
            </w:pPr>
          </w:p>
        </w:tc>
        <w:tc>
          <w:tcPr>
            <w:tcW w:w="992"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hAnsi="宋体" w:eastAsia="宋体" w:cs="宋体"/>
                <w:b/>
                <w:bCs/>
                <w:color w:val="000000"/>
                <w:sz w:val="22"/>
                <w:szCs w:val="22"/>
                <w:lang w:val="en-US"/>
              </w:rPr>
            </w:pPr>
          </w:p>
        </w:tc>
        <w:tc>
          <w:tcPr>
            <w:tcW w:w="1134" w:type="dxa"/>
            <w:vMerge w:val="continue"/>
            <w:tcBorders>
              <w:top w:val="single" w:color="auto" w:sz="8" w:space="0"/>
              <w:left w:val="single" w:color="auto" w:sz="8" w:space="0"/>
              <w:bottom w:val="single" w:color="000000" w:sz="8" w:space="0"/>
              <w:right w:val="single" w:color="auto" w:sz="8" w:space="0"/>
            </w:tcBorders>
            <w:vAlign w:val="center"/>
          </w:tcPr>
          <w:p>
            <w:pPr>
              <w:widowControl/>
              <w:autoSpaceDE/>
              <w:autoSpaceDN/>
              <w:adjustRightInd/>
              <w:spacing w:line="240" w:lineRule="auto"/>
              <w:ind w:firstLine="0" w:firstLineChars="0"/>
              <w:rPr>
                <w:rFonts w:hAnsi="宋体" w:eastAsia="宋体" w:cs="宋体"/>
                <w:b/>
                <w:bCs/>
                <w:color w:val="000000"/>
                <w:sz w:val="22"/>
                <w:szCs w:val="22"/>
                <w:lang w:val="en-US"/>
              </w:rPr>
            </w:pPr>
          </w:p>
        </w:tc>
        <w:tc>
          <w:tcPr>
            <w:tcW w:w="1418"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hAnsi="宋体" w:eastAsia="宋体" w:cs="宋体"/>
                <w:b/>
                <w:bCs/>
                <w:color w:val="000000"/>
                <w:sz w:val="22"/>
                <w:szCs w:val="22"/>
                <w:lang w:val="en-US"/>
              </w:rPr>
            </w:pPr>
          </w:p>
        </w:tc>
      </w:tr>
      <w:tr>
        <w:tblPrEx>
          <w:tblCellMar>
            <w:top w:w="0" w:type="dxa"/>
            <w:left w:w="108" w:type="dxa"/>
            <w:bottom w:w="0" w:type="dxa"/>
            <w:right w:w="108" w:type="dxa"/>
          </w:tblCellMar>
        </w:tblPrEx>
        <w:trPr>
          <w:trHeight w:val="300" w:hRule="atLeast"/>
        </w:trPr>
        <w:tc>
          <w:tcPr>
            <w:tcW w:w="1418" w:type="dxa"/>
            <w:vMerge w:val="restart"/>
            <w:tcBorders>
              <w:top w:val="nil"/>
              <w:left w:val="single" w:color="auto" w:sz="8" w:space="0"/>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灭火类</w:t>
            </w:r>
          </w:p>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消防车</w:t>
            </w: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主站消防车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3</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4</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10</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200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2000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水罐消防车（普通）</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2</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2</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4</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6</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8</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22</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80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1760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水罐消防车（≥25吨）</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3</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5</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5</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6</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95</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1995</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泡沫消防车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2</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2</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3</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3</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10</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220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2200</w:t>
            </w:r>
            <w:r>
              <w:rPr>
                <w:rFonts w:ascii="仿宋" w:hAnsi="仿宋" w:eastAsia="仿宋" w:cs="宋体"/>
                <w:color w:val="000000"/>
                <w:sz w:val="24"/>
                <w:szCs w:val="24"/>
                <w:lang w:val="en-US"/>
              </w:rPr>
              <w:t xml:space="preserve"> </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压缩空气泡沫消防车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2</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2</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3</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8</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200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1600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干粉泡沫联用消防车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228</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456</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干粉消防车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110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220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陆轨两用消防车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400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400</w:t>
            </w:r>
          </w:p>
        </w:tc>
      </w:tr>
      <w:tr>
        <w:tblPrEx>
          <w:tblCellMar>
            <w:top w:w="0" w:type="dxa"/>
            <w:left w:w="108" w:type="dxa"/>
            <w:bottom w:w="0" w:type="dxa"/>
            <w:right w:w="108" w:type="dxa"/>
          </w:tblCellMar>
        </w:tblPrEx>
        <w:trPr>
          <w:trHeight w:val="300" w:hRule="atLeast"/>
        </w:trPr>
        <w:tc>
          <w:tcPr>
            <w:tcW w:w="1418" w:type="dxa"/>
            <w:vMerge w:val="restart"/>
            <w:tcBorders>
              <w:top w:val="nil"/>
              <w:left w:val="single" w:color="auto" w:sz="8" w:space="0"/>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举高类</w:t>
            </w:r>
          </w:p>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消防车</w:t>
            </w: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登高平台消防车（≥54米）</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2</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4</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465</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1860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云梯消防车（≥54米）</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350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700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举高喷射消防车（≥50米）</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 xml:space="preserve">1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2</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4</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5</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 xml:space="preserve">5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17</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300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5100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三相射流举高喷射消防车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6</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500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3000</w:t>
            </w:r>
          </w:p>
        </w:tc>
      </w:tr>
      <w:tr>
        <w:tblPrEx>
          <w:tblCellMar>
            <w:top w:w="0" w:type="dxa"/>
            <w:left w:w="108" w:type="dxa"/>
            <w:bottom w:w="0" w:type="dxa"/>
            <w:right w:w="108" w:type="dxa"/>
          </w:tblCellMar>
        </w:tblPrEx>
        <w:trPr>
          <w:trHeight w:val="300" w:hRule="atLeast"/>
        </w:trPr>
        <w:tc>
          <w:tcPr>
            <w:tcW w:w="1418" w:type="dxa"/>
            <w:vMerge w:val="restart"/>
            <w:tcBorders>
              <w:top w:val="nil"/>
              <w:left w:val="single" w:color="auto" w:sz="8" w:space="0"/>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专勤类</w:t>
            </w:r>
          </w:p>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消防车</w:t>
            </w: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多功能抢险救援消防车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 xml:space="preserve">2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4</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5</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7</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19</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195</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3705</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化学抢险救援消防车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 xml:space="preserve">1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2</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5</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185</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925</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大流量高风压排烟消防车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550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550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无人机消防救援车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2</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6</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400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2400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照明消防车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185</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185</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通信指挥消防车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400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400</w:t>
            </w:r>
          </w:p>
        </w:tc>
      </w:tr>
      <w:tr>
        <w:tblPrEx>
          <w:tblCellMar>
            <w:top w:w="0" w:type="dxa"/>
            <w:left w:w="108" w:type="dxa"/>
            <w:bottom w:w="0" w:type="dxa"/>
            <w:right w:w="108" w:type="dxa"/>
          </w:tblCellMar>
        </w:tblPrEx>
        <w:trPr>
          <w:trHeight w:val="300" w:hRule="atLeast"/>
        </w:trPr>
        <w:tc>
          <w:tcPr>
            <w:tcW w:w="1418" w:type="dxa"/>
            <w:vMerge w:val="restart"/>
            <w:tcBorders>
              <w:top w:val="nil"/>
              <w:left w:val="single" w:color="auto" w:sz="8" w:space="0"/>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战勤保障类</w:t>
            </w:r>
          </w:p>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消防车</w:t>
            </w: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餐饮保障车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180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180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氮气消防车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200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200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供气车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220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220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装备抢修车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100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100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物资运输车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65</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65</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模块运输车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245</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245</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运兵车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38</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38</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供液消防车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155</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310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大型宿营车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195</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390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侦察前突车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100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100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淋浴洗消车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400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400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橡皮艇</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2</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2</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5</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5</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超高层供水消防车</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w:t>
            </w:r>
            <w:r>
              <w:rPr>
                <w:rFonts w:ascii="仿宋" w:hAnsi="仿宋" w:eastAsia="仿宋" w:cs="宋体"/>
                <w:color w:val="000000"/>
                <w:sz w:val="24"/>
                <w:szCs w:val="24"/>
                <w:lang w:val="en-US"/>
              </w:rPr>
              <w:t xml:space="preserve"> </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210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420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远程供水系统</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800</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1600</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auto" w:sz="8" w:space="0"/>
              <w:right w:val="single" w:color="auto" w:sz="8" w:space="0"/>
            </w:tcBorders>
            <w:vAlign w:val="center"/>
          </w:tcPr>
          <w:p>
            <w:pPr>
              <w:widowControl/>
              <w:autoSpaceDE/>
              <w:autoSpaceDN/>
              <w:adjustRightInd/>
              <w:spacing w:line="240" w:lineRule="auto"/>
              <w:ind w:firstLine="0" w:firstLineChars="0"/>
              <w:rPr>
                <w:rFonts w:ascii="仿宋" w:hAnsi="仿宋" w:eastAsia="仿宋" w:cs="宋体"/>
                <w:color w:val="000000"/>
                <w:sz w:val="24"/>
                <w:szCs w:val="24"/>
                <w:lang w:val="en-US"/>
              </w:rPr>
            </w:pPr>
          </w:p>
        </w:tc>
        <w:tc>
          <w:tcPr>
            <w:tcW w:w="3260"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冲锋舟</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181"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992"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w:t>
            </w:r>
          </w:p>
        </w:tc>
        <w:tc>
          <w:tcPr>
            <w:tcW w:w="1134"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2.5</w:t>
            </w:r>
          </w:p>
        </w:tc>
        <w:tc>
          <w:tcPr>
            <w:tcW w:w="1418" w:type="dxa"/>
            <w:tcBorders>
              <w:top w:val="nil"/>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5</w:t>
            </w:r>
          </w:p>
        </w:tc>
      </w:tr>
      <w:tr>
        <w:tblPrEx>
          <w:tblCellMar>
            <w:top w:w="0" w:type="dxa"/>
            <w:left w:w="108" w:type="dxa"/>
            <w:bottom w:w="0" w:type="dxa"/>
            <w:right w:w="108" w:type="dxa"/>
          </w:tblCellMar>
        </w:tblPrEx>
        <w:trPr>
          <w:trHeight w:val="300" w:hRule="atLeast"/>
        </w:trPr>
        <w:tc>
          <w:tcPr>
            <w:tcW w:w="4678"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数量合计</w:t>
            </w:r>
          </w:p>
        </w:tc>
        <w:tc>
          <w:tcPr>
            <w:tcW w:w="1181" w:type="dxa"/>
            <w:tcBorders>
              <w:top w:val="nil"/>
              <w:left w:val="nil"/>
              <w:bottom w:val="single" w:color="auto" w:sz="4"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19</w:t>
            </w:r>
          </w:p>
        </w:tc>
        <w:tc>
          <w:tcPr>
            <w:tcW w:w="1181" w:type="dxa"/>
            <w:tcBorders>
              <w:top w:val="nil"/>
              <w:left w:val="nil"/>
              <w:bottom w:val="single" w:color="auto" w:sz="4"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31</w:t>
            </w:r>
          </w:p>
        </w:tc>
        <w:tc>
          <w:tcPr>
            <w:tcW w:w="1181" w:type="dxa"/>
            <w:tcBorders>
              <w:top w:val="nil"/>
              <w:left w:val="nil"/>
              <w:bottom w:val="single" w:color="auto" w:sz="4"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 xml:space="preserve">35  </w:t>
            </w:r>
          </w:p>
        </w:tc>
        <w:tc>
          <w:tcPr>
            <w:tcW w:w="1134" w:type="dxa"/>
            <w:tcBorders>
              <w:top w:val="nil"/>
              <w:left w:val="nil"/>
              <w:bottom w:val="single" w:color="auto" w:sz="4"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 xml:space="preserve">37  </w:t>
            </w:r>
          </w:p>
        </w:tc>
        <w:tc>
          <w:tcPr>
            <w:tcW w:w="1181" w:type="dxa"/>
            <w:tcBorders>
              <w:top w:val="nil"/>
              <w:left w:val="nil"/>
              <w:bottom w:val="single" w:color="auto" w:sz="4"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40</w:t>
            </w:r>
          </w:p>
        </w:tc>
        <w:tc>
          <w:tcPr>
            <w:tcW w:w="992" w:type="dxa"/>
            <w:tcBorders>
              <w:top w:val="nil"/>
              <w:left w:val="nil"/>
              <w:bottom w:val="single" w:color="auto" w:sz="4"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162</w:t>
            </w:r>
          </w:p>
        </w:tc>
        <w:tc>
          <w:tcPr>
            <w:tcW w:w="1134" w:type="dxa"/>
            <w:tcBorders>
              <w:top w:val="nil"/>
              <w:left w:val="nil"/>
              <w:bottom w:val="single" w:color="auto" w:sz="4" w:space="0"/>
              <w:right w:val="single" w:color="auto" w:sz="8" w:space="0"/>
              <w:tr2bl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　</w:t>
            </w:r>
          </w:p>
        </w:tc>
        <w:tc>
          <w:tcPr>
            <w:tcW w:w="1418" w:type="dxa"/>
            <w:tcBorders>
              <w:top w:val="nil"/>
              <w:left w:val="nil"/>
              <w:bottom w:val="single" w:color="auto" w:sz="4" w:space="0"/>
              <w:right w:val="single" w:color="auto" w:sz="8" w:space="0"/>
              <w:tr2bl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p>
        </w:tc>
      </w:tr>
      <w:tr>
        <w:tblPrEx>
          <w:tblCellMar>
            <w:top w:w="0" w:type="dxa"/>
            <w:left w:w="108" w:type="dxa"/>
            <w:bottom w:w="0" w:type="dxa"/>
            <w:right w:w="108" w:type="dxa"/>
          </w:tblCellMar>
        </w:tblPrEx>
        <w:trPr>
          <w:trHeight w:val="300" w:hRule="atLeast"/>
        </w:trPr>
        <w:tc>
          <w:tcPr>
            <w:tcW w:w="4678"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合计（单位：万元）</w:t>
            </w:r>
          </w:p>
        </w:tc>
        <w:tc>
          <w:tcPr>
            <w:tcW w:w="1181" w:type="dxa"/>
            <w:tcBorders>
              <w:top w:val="single" w:color="auto" w:sz="4" w:space="0"/>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4430.5</w:t>
            </w:r>
          </w:p>
        </w:tc>
        <w:tc>
          <w:tcPr>
            <w:tcW w:w="1181" w:type="dxa"/>
            <w:tcBorders>
              <w:top w:val="single" w:color="auto" w:sz="4" w:space="0"/>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ascii="仿宋" w:hAnsi="仿宋" w:eastAsia="仿宋" w:cs="宋体"/>
                <w:color w:val="000000"/>
                <w:sz w:val="24"/>
                <w:szCs w:val="24"/>
                <w:lang w:val="en-US"/>
              </w:rPr>
              <w:t>7474.5</w:t>
            </w:r>
          </w:p>
        </w:tc>
        <w:tc>
          <w:tcPr>
            <w:tcW w:w="1181" w:type="dxa"/>
            <w:tcBorders>
              <w:top w:val="single" w:color="auto" w:sz="4" w:space="0"/>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6</w:t>
            </w:r>
            <w:r>
              <w:rPr>
                <w:rFonts w:ascii="仿宋" w:hAnsi="仿宋" w:eastAsia="仿宋" w:cs="宋体"/>
                <w:color w:val="000000"/>
                <w:sz w:val="24"/>
                <w:szCs w:val="24"/>
                <w:lang w:val="en-US"/>
              </w:rPr>
              <w:t>835</w:t>
            </w:r>
          </w:p>
        </w:tc>
        <w:tc>
          <w:tcPr>
            <w:tcW w:w="1134" w:type="dxa"/>
            <w:tcBorders>
              <w:top w:val="single" w:color="auto" w:sz="4" w:space="0"/>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6</w:t>
            </w:r>
            <w:r>
              <w:rPr>
                <w:rFonts w:ascii="仿宋" w:hAnsi="仿宋" w:eastAsia="仿宋" w:cs="宋体"/>
                <w:color w:val="000000"/>
                <w:sz w:val="24"/>
                <w:szCs w:val="24"/>
                <w:lang w:val="en-US"/>
              </w:rPr>
              <w:t>964</w:t>
            </w:r>
          </w:p>
        </w:tc>
        <w:tc>
          <w:tcPr>
            <w:tcW w:w="1181" w:type="dxa"/>
            <w:tcBorders>
              <w:top w:val="single" w:color="auto" w:sz="4" w:space="0"/>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8</w:t>
            </w:r>
            <w:r>
              <w:rPr>
                <w:rFonts w:ascii="仿宋" w:hAnsi="仿宋" w:eastAsia="仿宋" w:cs="宋体"/>
                <w:color w:val="000000"/>
                <w:sz w:val="24"/>
                <w:szCs w:val="24"/>
                <w:lang w:val="en-US"/>
              </w:rPr>
              <w:t>030</w:t>
            </w:r>
          </w:p>
        </w:tc>
        <w:tc>
          <w:tcPr>
            <w:tcW w:w="3544" w:type="dxa"/>
            <w:gridSpan w:val="3"/>
            <w:tcBorders>
              <w:top w:val="single" w:color="auto" w:sz="4" w:space="0"/>
              <w:left w:val="nil"/>
              <w:bottom w:val="single" w:color="auto" w:sz="8" w:space="0"/>
              <w:right w:val="single" w:color="auto" w:sz="8"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color w:val="000000"/>
                <w:sz w:val="24"/>
                <w:szCs w:val="24"/>
                <w:lang w:val="en-US"/>
              </w:rPr>
            </w:pPr>
            <w:r>
              <w:rPr>
                <w:rFonts w:hint="eastAsia" w:ascii="仿宋" w:hAnsi="仿宋" w:eastAsia="仿宋" w:cs="宋体"/>
                <w:color w:val="000000"/>
                <w:sz w:val="24"/>
                <w:szCs w:val="24"/>
                <w:lang w:val="en-US"/>
              </w:rPr>
              <w:t>33734</w:t>
            </w:r>
          </w:p>
        </w:tc>
      </w:tr>
    </w:tbl>
    <w:p>
      <w:pPr>
        <w:ind w:firstLine="560"/>
        <w:rPr>
          <w:lang w:val="en-US"/>
        </w:rPr>
      </w:pPr>
    </w:p>
    <w:p>
      <w:pPr>
        <w:ind w:firstLine="560"/>
        <w:rPr>
          <w:lang w:val="en-US"/>
        </w:rPr>
      </w:pPr>
    </w:p>
    <w:p>
      <w:pPr>
        <w:ind w:firstLine="560"/>
        <w:rPr>
          <w:lang w:val="en-US"/>
        </w:rPr>
      </w:pPr>
    </w:p>
    <w:p>
      <w:pPr>
        <w:ind w:firstLine="560"/>
        <w:rPr>
          <w:lang w:val="en-US"/>
        </w:rPr>
      </w:pPr>
    </w:p>
    <w:p>
      <w:pPr>
        <w:ind w:firstLine="560"/>
        <w:rPr>
          <w:lang w:val="en-US"/>
        </w:rPr>
      </w:pPr>
    </w:p>
    <w:p>
      <w:pPr>
        <w:ind w:firstLine="560"/>
        <w:rPr>
          <w:lang w:val="en-US"/>
        </w:rPr>
      </w:pPr>
    </w:p>
    <w:p>
      <w:pPr>
        <w:ind w:firstLine="560"/>
        <w:rPr>
          <w:lang w:val="en-US"/>
        </w:rPr>
      </w:pPr>
    </w:p>
    <w:p>
      <w:pPr>
        <w:pStyle w:val="3"/>
        <w:jc w:val="center"/>
        <w:rPr>
          <w:rFonts w:ascii="黑体" w:hAnsi="黑体" w:eastAsia="黑体"/>
          <w:sz w:val="32"/>
          <w:szCs w:val="32"/>
        </w:rPr>
      </w:pPr>
      <w:bookmarkStart w:id="87" w:name="_Toc89958980"/>
      <w:r>
        <w:rPr>
          <w:rFonts w:hint="eastAsia" w:ascii="黑体" w:hAnsi="黑体" w:eastAsia="黑体"/>
          <w:sz w:val="32"/>
          <w:szCs w:val="32"/>
        </w:rPr>
        <w:t>附件八：“十四五”时期城市政府专职消防员和文员招录规划</w:t>
      </w:r>
      <w:bookmarkEnd w:id="87"/>
    </w:p>
    <w:p>
      <w:pPr>
        <w:spacing w:line="240" w:lineRule="auto"/>
        <w:ind w:right="315" w:firstLine="420"/>
        <w:jc w:val="right"/>
        <w:rPr>
          <w:sz w:val="21"/>
          <w:szCs w:val="24"/>
        </w:rPr>
      </w:pPr>
      <w:r>
        <w:rPr>
          <w:rFonts w:hint="eastAsia"/>
          <w:sz w:val="21"/>
          <w:szCs w:val="24"/>
        </w:rPr>
        <w:t>单位（人）</w:t>
      </w:r>
    </w:p>
    <w:tbl>
      <w:tblPr>
        <w:tblStyle w:val="28"/>
        <w:tblW w:w="13041" w:type="dxa"/>
        <w:tblInd w:w="0" w:type="dxa"/>
        <w:tblLayout w:type="autofit"/>
        <w:tblCellMar>
          <w:top w:w="0" w:type="dxa"/>
          <w:left w:w="108" w:type="dxa"/>
          <w:bottom w:w="0" w:type="dxa"/>
          <w:right w:w="108" w:type="dxa"/>
        </w:tblCellMar>
      </w:tblPr>
      <w:tblGrid>
        <w:gridCol w:w="1929"/>
        <w:gridCol w:w="1039"/>
        <w:gridCol w:w="813"/>
        <w:gridCol w:w="1015"/>
        <w:gridCol w:w="837"/>
        <w:gridCol w:w="977"/>
        <w:gridCol w:w="875"/>
        <w:gridCol w:w="1068"/>
        <w:gridCol w:w="784"/>
        <w:gridCol w:w="1102"/>
        <w:gridCol w:w="750"/>
        <w:gridCol w:w="979"/>
        <w:gridCol w:w="873"/>
      </w:tblGrid>
      <w:tr>
        <w:tblPrEx>
          <w:tblCellMar>
            <w:top w:w="0" w:type="dxa"/>
            <w:left w:w="108" w:type="dxa"/>
            <w:bottom w:w="0" w:type="dxa"/>
            <w:right w:w="108" w:type="dxa"/>
          </w:tblCellMar>
        </w:tblPrEx>
        <w:trPr>
          <w:trHeight w:val="510" w:hRule="atLeast"/>
        </w:trPr>
        <w:tc>
          <w:tcPr>
            <w:tcW w:w="192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hAnsi="宋体" w:eastAsia="宋体" w:cs="宋体"/>
                <w:b/>
                <w:sz w:val="24"/>
                <w:szCs w:val="22"/>
                <w:lang w:val="en-US"/>
              </w:rPr>
            </w:pPr>
            <w:bookmarkStart w:id="88" w:name="_Hlk73992717"/>
            <w:r>
              <w:rPr>
                <w:rFonts w:hint="eastAsia" w:ascii="仿宋" w:hAnsi="仿宋" w:eastAsia="仿宋" w:cs="宋体"/>
                <w:b/>
                <w:bCs/>
                <w:sz w:val="24"/>
                <w:szCs w:val="24"/>
                <w:lang w:val="en-US"/>
              </w:rPr>
              <w:t>行政区域</w:t>
            </w:r>
          </w:p>
        </w:tc>
        <w:tc>
          <w:tcPr>
            <w:tcW w:w="1852"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hAnsi="宋体" w:eastAsia="宋体" w:cs="宋体"/>
                <w:b/>
                <w:sz w:val="24"/>
                <w:szCs w:val="22"/>
                <w:lang w:val="en-US"/>
              </w:rPr>
            </w:pPr>
            <w:r>
              <w:rPr>
                <w:rFonts w:hint="eastAsia" w:hAnsi="宋体" w:eastAsia="宋体" w:cs="宋体"/>
                <w:b/>
                <w:sz w:val="24"/>
                <w:szCs w:val="22"/>
                <w:lang w:val="en-US"/>
              </w:rPr>
              <w:t>2021年</w:t>
            </w:r>
          </w:p>
        </w:tc>
        <w:tc>
          <w:tcPr>
            <w:tcW w:w="1852"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hAnsi="宋体" w:eastAsia="宋体" w:cs="宋体"/>
                <w:b/>
                <w:sz w:val="24"/>
                <w:szCs w:val="22"/>
                <w:lang w:val="en-US"/>
              </w:rPr>
            </w:pPr>
            <w:r>
              <w:rPr>
                <w:rFonts w:hint="eastAsia" w:hAnsi="宋体" w:eastAsia="宋体" w:cs="宋体"/>
                <w:b/>
                <w:sz w:val="24"/>
                <w:szCs w:val="22"/>
                <w:lang w:val="en-US"/>
              </w:rPr>
              <w:t>2022年</w:t>
            </w:r>
          </w:p>
        </w:tc>
        <w:tc>
          <w:tcPr>
            <w:tcW w:w="1852"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hAnsi="宋体" w:eastAsia="宋体" w:cs="宋体"/>
                <w:b/>
                <w:sz w:val="24"/>
                <w:szCs w:val="22"/>
                <w:lang w:val="en-US"/>
              </w:rPr>
            </w:pPr>
            <w:r>
              <w:rPr>
                <w:rFonts w:hint="eastAsia" w:hAnsi="宋体" w:eastAsia="宋体" w:cs="宋体"/>
                <w:b/>
                <w:sz w:val="24"/>
                <w:szCs w:val="22"/>
                <w:lang w:val="en-US"/>
              </w:rPr>
              <w:t>2023年</w:t>
            </w:r>
          </w:p>
        </w:tc>
        <w:tc>
          <w:tcPr>
            <w:tcW w:w="1852"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hAnsi="宋体" w:eastAsia="宋体" w:cs="宋体"/>
                <w:b/>
                <w:sz w:val="24"/>
                <w:szCs w:val="22"/>
                <w:lang w:val="en-US"/>
              </w:rPr>
            </w:pPr>
            <w:r>
              <w:rPr>
                <w:rFonts w:hint="eastAsia" w:hAnsi="宋体" w:eastAsia="宋体" w:cs="宋体"/>
                <w:b/>
                <w:sz w:val="24"/>
                <w:szCs w:val="22"/>
                <w:lang w:val="en-US"/>
              </w:rPr>
              <w:t>2024年</w:t>
            </w:r>
          </w:p>
        </w:tc>
        <w:tc>
          <w:tcPr>
            <w:tcW w:w="1852"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hAnsi="宋体" w:eastAsia="宋体" w:cs="宋体"/>
                <w:b/>
                <w:sz w:val="24"/>
                <w:szCs w:val="22"/>
                <w:lang w:val="en-US"/>
              </w:rPr>
            </w:pPr>
            <w:r>
              <w:rPr>
                <w:rFonts w:hint="eastAsia" w:hAnsi="宋体" w:eastAsia="宋体" w:cs="宋体"/>
                <w:b/>
                <w:sz w:val="24"/>
                <w:szCs w:val="22"/>
                <w:lang w:val="en-US"/>
              </w:rPr>
              <w:t>2025年</w:t>
            </w:r>
          </w:p>
        </w:tc>
        <w:tc>
          <w:tcPr>
            <w:tcW w:w="1852"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hAnsi="宋体" w:eastAsia="宋体" w:cs="宋体"/>
                <w:b/>
                <w:sz w:val="24"/>
                <w:szCs w:val="22"/>
                <w:lang w:val="en-US"/>
              </w:rPr>
            </w:pPr>
            <w:r>
              <w:rPr>
                <w:rFonts w:hint="eastAsia" w:hAnsi="宋体" w:eastAsia="宋体" w:cs="宋体"/>
                <w:b/>
                <w:sz w:val="24"/>
                <w:szCs w:val="22"/>
                <w:lang w:val="en-US"/>
              </w:rPr>
              <w:t>合计</w:t>
            </w:r>
          </w:p>
        </w:tc>
      </w:tr>
      <w:tr>
        <w:tblPrEx>
          <w:tblCellMar>
            <w:top w:w="0" w:type="dxa"/>
            <w:left w:w="108" w:type="dxa"/>
            <w:bottom w:w="0" w:type="dxa"/>
            <w:right w:w="108" w:type="dxa"/>
          </w:tblCellMar>
        </w:tblPrEx>
        <w:trPr>
          <w:trHeight w:val="510" w:hRule="atLeast"/>
        </w:trPr>
        <w:tc>
          <w:tcPr>
            <w:tcW w:w="1929"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rPr>
                <w:rFonts w:hAnsi="宋体" w:eastAsia="宋体" w:cs="宋体"/>
                <w:sz w:val="22"/>
                <w:szCs w:val="22"/>
                <w:lang w:val="en-US"/>
              </w:rPr>
            </w:pPr>
          </w:p>
        </w:tc>
        <w:tc>
          <w:tcPr>
            <w:tcW w:w="1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rPr>
                <w:rFonts w:hAnsi="宋体" w:eastAsia="宋体" w:cs="宋体"/>
                <w:sz w:val="22"/>
                <w:szCs w:val="22"/>
                <w:lang w:val="en-US"/>
              </w:rPr>
            </w:pPr>
          </w:p>
        </w:tc>
        <w:tc>
          <w:tcPr>
            <w:tcW w:w="1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rPr>
                <w:rFonts w:hAnsi="宋体" w:eastAsia="宋体" w:cs="宋体"/>
                <w:sz w:val="22"/>
                <w:szCs w:val="22"/>
                <w:lang w:val="en-US"/>
              </w:rPr>
            </w:pPr>
          </w:p>
        </w:tc>
        <w:tc>
          <w:tcPr>
            <w:tcW w:w="1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rPr>
                <w:rFonts w:hAnsi="宋体" w:eastAsia="宋体" w:cs="宋体"/>
                <w:sz w:val="22"/>
                <w:szCs w:val="22"/>
                <w:lang w:val="en-US"/>
              </w:rPr>
            </w:pPr>
          </w:p>
        </w:tc>
        <w:tc>
          <w:tcPr>
            <w:tcW w:w="1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rPr>
                <w:rFonts w:hAnsi="宋体" w:eastAsia="宋体" w:cs="宋体"/>
                <w:sz w:val="22"/>
                <w:szCs w:val="22"/>
                <w:lang w:val="en-US"/>
              </w:rPr>
            </w:pPr>
          </w:p>
        </w:tc>
        <w:tc>
          <w:tcPr>
            <w:tcW w:w="1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rPr>
                <w:rFonts w:hAnsi="宋体" w:eastAsia="宋体" w:cs="宋体"/>
                <w:sz w:val="22"/>
                <w:szCs w:val="22"/>
                <w:lang w:val="en-US"/>
              </w:rPr>
            </w:pPr>
          </w:p>
        </w:tc>
        <w:tc>
          <w:tcPr>
            <w:tcW w:w="1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rPr>
                <w:rFonts w:hAnsi="宋体" w:eastAsia="宋体" w:cs="宋体"/>
                <w:sz w:val="22"/>
                <w:szCs w:val="22"/>
                <w:lang w:val="en-US"/>
              </w:rPr>
            </w:pPr>
          </w:p>
        </w:tc>
      </w:tr>
      <w:tr>
        <w:tblPrEx>
          <w:tblCellMar>
            <w:top w:w="0" w:type="dxa"/>
            <w:left w:w="108" w:type="dxa"/>
            <w:bottom w:w="0" w:type="dxa"/>
            <w:right w:w="108" w:type="dxa"/>
          </w:tblCellMar>
        </w:tblPrEx>
        <w:trPr>
          <w:trHeight w:val="510" w:hRule="atLeast"/>
        </w:trPr>
        <w:tc>
          <w:tcPr>
            <w:tcW w:w="1929" w:type="dxa"/>
            <w:vMerge w:val="continue"/>
            <w:tcBorders>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rPr>
                <w:rFonts w:hAnsi="宋体" w:eastAsia="宋体" w:cs="宋体"/>
                <w:sz w:val="22"/>
                <w:szCs w:val="22"/>
                <w:lang w:val="en-US"/>
              </w:rPr>
            </w:pPr>
          </w:p>
        </w:tc>
        <w:tc>
          <w:tcPr>
            <w:tcW w:w="1039"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消防员</w:t>
            </w:r>
          </w:p>
        </w:tc>
        <w:tc>
          <w:tcPr>
            <w:tcW w:w="813"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文员</w:t>
            </w:r>
          </w:p>
        </w:tc>
        <w:tc>
          <w:tcPr>
            <w:tcW w:w="1015"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消防员</w:t>
            </w:r>
          </w:p>
        </w:tc>
        <w:tc>
          <w:tcPr>
            <w:tcW w:w="837"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文员</w:t>
            </w:r>
          </w:p>
        </w:tc>
        <w:tc>
          <w:tcPr>
            <w:tcW w:w="977"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消防员</w:t>
            </w:r>
          </w:p>
        </w:tc>
        <w:tc>
          <w:tcPr>
            <w:tcW w:w="875"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文员</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消防员</w:t>
            </w:r>
          </w:p>
        </w:tc>
        <w:tc>
          <w:tcPr>
            <w:tcW w:w="78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文员</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消防员</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文员</w:t>
            </w:r>
          </w:p>
        </w:tc>
        <w:tc>
          <w:tcPr>
            <w:tcW w:w="979"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消防员</w:t>
            </w:r>
          </w:p>
        </w:tc>
        <w:tc>
          <w:tcPr>
            <w:tcW w:w="873"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文员</w:t>
            </w:r>
          </w:p>
        </w:tc>
      </w:tr>
      <w:tr>
        <w:tblPrEx>
          <w:tblCellMar>
            <w:top w:w="0" w:type="dxa"/>
            <w:left w:w="108" w:type="dxa"/>
            <w:bottom w:w="0" w:type="dxa"/>
            <w:right w:w="108" w:type="dxa"/>
          </w:tblCellMar>
        </w:tblPrEx>
        <w:trPr>
          <w:trHeight w:val="510" w:hRule="atLeast"/>
        </w:trPr>
        <w:tc>
          <w:tcPr>
            <w:tcW w:w="1929"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市级</w:t>
            </w:r>
          </w:p>
        </w:tc>
        <w:tc>
          <w:tcPr>
            <w:tcW w:w="103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55</w:t>
            </w:r>
          </w:p>
        </w:tc>
        <w:tc>
          <w:tcPr>
            <w:tcW w:w="81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6</w:t>
            </w:r>
          </w:p>
        </w:tc>
        <w:tc>
          <w:tcPr>
            <w:tcW w:w="1015"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15</w:t>
            </w:r>
          </w:p>
        </w:tc>
        <w:tc>
          <w:tcPr>
            <w:tcW w:w="83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p>
        </w:tc>
        <w:tc>
          <w:tcPr>
            <w:tcW w:w="977"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15</w:t>
            </w:r>
          </w:p>
        </w:tc>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p>
        </w:tc>
        <w:tc>
          <w:tcPr>
            <w:tcW w:w="1068"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10</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p>
        </w:tc>
        <w:tc>
          <w:tcPr>
            <w:tcW w:w="1102"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10</w:t>
            </w:r>
          </w:p>
        </w:tc>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p>
        </w:tc>
        <w:tc>
          <w:tcPr>
            <w:tcW w:w="97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105</w:t>
            </w:r>
          </w:p>
        </w:tc>
        <w:tc>
          <w:tcPr>
            <w:tcW w:w="87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26</w:t>
            </w:r>
          </w:p>
        </w:tc>
      </w:tr>
      <w:tr>
        <w:tblPrEx>
          <w:tblCellMar>
            <w:top w:w="0" w:type="dxa"/>
            <w:left w:w="108" w:type="dxa"/>
            <w:bottom w:w="0" w:type="dxa"/>
            <w:right w:w="108" w:type="dxa"/>
          </w:tblCellMar>
        </w:tblPrEx>
        <w:trPr>
          <w:trHeight w:val="510" w:hRule="atLeast"/>
        </w:trPr>
        <w:tc>
          <w:tcPr>
            <w:tcW w:w="1929"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琅琊区</w:t>
            </w:r>
          </w:p>
        </w:tc>
        <w:tc>
          <w:tcPr>
            <w:tcW w:w="103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10</w:t>
            </w:r>
          </w:p>
        </w:tc>
        <w:tc>
          <w:tcPr>
            <w:tcW w:w="81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５</w:t>
            </w:r>
          </w:p>
        </w:tc>
        <w:tc>
          <w:tcPr>
            <w:tcW w:w="1015"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12</w:t>
            </w:r>
          </w:p>
        </w:tc>
        <w:tc>
          <w:tcPr>
            <w:tcW w:w="83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５</w:t>
            </w:r>
          </w:p>
        </w:tc>
        <w:tc>
          <w:tcPr>
            <w:tcW w:w="977"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11</w:t>
            </w:r>
          </w:p>
        </w:tc>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５</w:t>
            </w:r>
          </w:p>
        </w:tc>
        <w:tc>
          <w:tcPr>
            <w:tcW w:w="1068"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13</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２</w:t>
            </w:r>
          </w:p>
        </w:tc>
        <w:tc>
          <w:tcPr>
            <w:tcW w:w="1102"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14</w:t>
            </w:r>
          </w:p>
        </w:tc>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１</w:t>
            </w:r>
          </w:p>
        </w:tc>
        <w:tc>
          <w:tcPr>
            <w:tcW w:w="97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60</w:t>
            </w:r>
          </w:p>
        </w:tc>
        <w:tc>
          <w:tcPr>
            <w:tcW w:w="87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8</w:t>
            </w:r>
          </w:p>
        </w:tc>
      </w:tr>
      <w:tr>
        <w:tblPrEx>
          <w:tblCellMar>
            <w:top w:w="0" w:type="dxa"/>
            <w:left w:w="108" w:type="dxa"/>
            <w:bottom w:w="0" w:type="dxa"/>
            <w:right w:w="108" w:type="dxa"/>
          </w:tblCellMar>
        </w:tblPrEx>
        <w:trPr>
          <w:trHeight w:val="510" w:hRule="atLeast"/>
        </w:trPr>
        <w:tc>
          <w:tcPr>
            <w:tcW w:w="1929"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南谯区</w:t>
            </w:r>
          </w:p>
        </w:tc>
        <w:tc>
          <w:tcPr>
            <w:tcW w:w="103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20</w:t>
            </w:r>
          </w:p>
        </w:tc>
        <w:tc>
          <w:tcPr>
            <w:tcW w:w="81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7</w:t>
            </w:r>
          </w:p>
        </w:tc>
        <w:tc>
          <w:tcPr>
            <w:tcW w:w="1015"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22</w:t>
            </w:r>
          </w:p>
        </w:tc>
        <w:tc>
          <w:tcPr>
            <w:tcW w:w="83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p>
        </w:tc>
        <w:tc>
          <w:tcPr>
            <w:tcW w:w="977"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21</w:t>
            </w:r>
          </w:p>
        </w:tc>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p>
        </w:tc>
        <w:tc>
          <w:tcPr>
            <w:tcW w:w="1068"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23</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1102"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24</w:t>
            </w:r>
          </w:p>
        </w:tc>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97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110</w:t>
            </w:r>
          </w:p>
        </w:tc>
        <w:tc>
          <w:tcPr>
            <w:tcW w:w="87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0</w:t>
            </w:r>
          </w:p>
        </w:tc>
      </w:tr>
      <w:tr>
        <w:tblPrEx>
          <w:tblCellMar>
            <w:top w:w="0" w:type="dxa"/>
            <w:left w:w="108" w:type="dxa"/>
            <w:bottom w:w="0" w:type="dxa"/>
            <w:right w:w="108" w:type="dxa"/>
          </w:tblCellMar>
        </w:tblPrEx>
        <w:trPr>
          <w:trHeight w:val="510" w:hRule="atLeast"/>
        </w:trPr>
        <w:tc>
          <w:tcPr>
            <w:tcW w:w="1929"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经开区</w:t>
            </w:r>
          </w:p>
        </w:tc>
        <w:tc>
          <w:tcPr>
            <w:tcW w:w="103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p>
        </w:tc>
        <w:tc>
          <w:tcPr>
            <w:tcW w:w="81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２</w:t>
            </w:r>
          </w:p>
        </w:tc>
        <w:tc>
          <w:tcPr>
            <w:tcW w:w="1015"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7</w:t>
            </w:r>
          </w:p>
        </w:tc>
        <w:tc>
          <w:tcPr>
            <w:tcW w:w="83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２</w:t>
            </w:r>
          </w:p>
        </w:tc>
        <w:tc>
          <w:tcPr>
            <w:tcW w:w="977"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6</w:t>
            </w:r>
          </w:p>
        </w:tc>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２</w:t>
            </w:r>
          </w:p>
        </w:tc>
        <w:tc>
          <w:tcPr>
            <w:tcW w:w="1068"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8</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１</w:t>
            </w:r>
          </w:p>
        </w:tc>
        <w:tc>
          <w:tcPr>
            <w:tcW w:w="1102"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9</w:t>
            </w:r>
          </w:p>
        </w:tc>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１</w:t>
            </w:r>
          </w:p>
        </w:tc>
        <w:tc>
          <w:tcPr>
            <w:tcW w:w="97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35</w:t>
            </w:r>
          </w:p>
        </w:tc>
        <w:tc>
          <w:tcPr>
            <w:tcW w:w="87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8</w:t>
            </w:r>
          </w:p>
        </w:tc>
      </w:tr>
      <w:tr>
        <w:tblPrEx>
          <w:tblCellMar>
            <w:top w:w="0" w:type="dxa"/>
            <w:left w:w="108" w:type="dxa"/>
            <w:bottom w:w="0" w:type="dxa"/>
            <w:right w:w="108" w:type="dxa"/>
          </w:tblCellMar>
        </w:tblPrEx>
        <w:trPr>
          <w:trHeight w:val="510" w:hRule="atLeast"/>
        </w:trPr>
        <w:tc>
          <w:tcPr>
            <w:tcW w:w="1929"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天长市</w:t>
            </w:r>
          </w:p>
        </w:tc>
        <w:tc>
          <w:tcPr>
            <w:tcW w:w="103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10</w:t>
            </w:r>
          </w:p>
        </w:tc>
        <w:tc>
          <w:tcPr>
            <w:tcW w:w="81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w:t>
            </w:r>
          </w:p>
        </w:tc>
        <w:tc>
          <w:tcPr>
            <w:tcW w:w="1015"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12</w:t>
            </w:r>
          </w:p>
        </w:tc>
        <w:tc>
          <w:tcPr>
            <w:tcW w:w="83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w:t>
            </w:r>
          </w:p>
        </w:tc>
        <w:tc>
          <w:tcPr>
            <w:tcW w:w="977"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11</w:t>
            </w:r>
          </w:p>
        </w:tc>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w:t>
            </w:r>
          </w:p>
        </w:tc>
        <w:tc>
          <w:tcPr>
            <w:tcW w:w="1068"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13</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1102"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14</w:t>
            </w:r>
          </w:p>
        </w:tc>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97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60</w:t>
            </w:r>
          </w:p>
        </w:tc>
        <w:tc>
          <w:tcPr>
            <w:tcW w:w="87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5</w:t>
            </w:r>
          </w:p>
        </w:tc>
      </w:tr>
      <w:tr>
        <w:tblPrEx>
          <w:tblCellMar>
            <w:top w:w="0" w:type="dxa"/>
            <w:left w:w="108" w:type="dxa"/>
            <w:bottom w:w="0" w:type="dxa"/>
            <w:right w:w="108" w:type="dxa"/>
          </w:tblCellMar>
        </w:tblPrEx>
        <w:trPr>
          <w:trHeight w:val="510" w:hRule="atLeast"/>
        </w:trPr>
        <w:tc>
          <w:tcPr>
            <w:tcW w:w="1929"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明光市</w:t>
            </w:r>
          </w:p>
        </w:tc>
        <w:tc>
          <w:tcPr>
            <w:tcW w:w="103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6</w:t>
            </w:r>
          </w:p>
        </w:tc>
        <w:tc>
          <w:tcPr>
            <w:tcW w:w="81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p>
        </w:tc>
        <w:tc>
          <w:tcPr>
            <w:tcW w:w="1015"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8</w:t>
            </w:r>
          </w:p>
        </w:tc>
        <w:tc>
          <w:tcPr>
            <w:tcW w:w="83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p>
        </w:tc>
        <w:tc>
          <w:tcPr>
            <w:tcW w:w="977"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7</w:t>
            </w:r>
          </w:p>
        </w:tc>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p>
        </w:tc>
        <w:tc>
          <w:tcPr>
            <w:tcW w:w="1068"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9</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1102"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10</w:t>
            </w:r>
          </w:p>
        </w:tc>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97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40</w:t>
            </w:r>
          </w:p>
        </w:tc>
        <w:tc>
          <w:tcPr>
            <w:tcW w:w="87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7</w:t>
            </w:r>
          </w:p>
        </w:tc>
      </w:tr>
      <w:tr>
        <w:tblPrEx>
          <w:tblCellMar>
            <w:top w:w="0" w:type="dxa"/>
            <w:left w:w="108" w:type="dxa"/>
            <w:bottom w:w="0" w:type="dxa"/>
            <w:right w:w="108" w:type="dxa"/>
          </w:tblCellMar>
        </w:tblPrEx>
        <w:trPr>
          <w:trHeight w:val="510" w:hRule="atLeast"/>
        </w:trPr>
        <w:tc>
          <w:tcPr>
            <w:tcW w:w="1929"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来安县</w:t>
            </w:r>
          </w:p>
        </w:tc>
        <w:tc>
          <w:tcPr>
            <w:tcW w:w="103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11</w:t>
            </w:r>
          </w:p>
        </w:tc>
        <w:tc>
          <w:tcPr>
            <w:tcW w:w="81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４</w:t>
            </w:r>
          </w:p>
        </w:tc>
        <w:tc>
          <w:tcPr>
            <w:tcW w:w="1015"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13</w:t>
            </w:r>
          </w:p>
        </w:tc>
        <w:tc>
          <w:tcPr>
            <w:tcW w:w="83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３</w:t>
            </w:r>
          </w:p>
        </w:tc>
        <w:tc>
          <w:tcPr>
            <w:tcW w:w="977"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12</w:t>
            </w:r>
          </w:p>
        </w:tc>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３</w:t>
            </w:r>
          </w:p>
        </w:tc>
        <w:tc>
          <w:tcPr>
            <w:tcW w:w="1068"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14</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１</w:t>
            </w:r>
          </w:p>
        </w:tc>
        <w:tc>
          <w:tcPr>
            <w:tcW w:w="1102"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15</w:t>
            </w:r>
          </w:p>
        </w:tc>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１</w:t>
            </w:r>
          </w:p>
        </w:tc>
        <w:tc>
          <w:tcPr>
            <w:tcW w:w="97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65</w:t>
            </w:r>
          </w:p>
        </w:tc>
        <w:tc>
          <w:tcPr>
            <w:tcW w:w="87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2</w:t>
            </w:r>
          </w:p>
        </w:tc>
      </w:tr>
      <w:tr>
        <w:tblPrEx>
          <w:tblCellMar>
            <w:top w:w="0" w:type="dxa"/>
            <w:left w:w="108" w:type="dxa"/>
            <w:bottom w:w="0" w:type="dxa"/>
            <w:right w:w="108" w:type="dxa"/>
          </w:tblCellMar>
        </w:tblPrEx>
        <w:trPr>
          <w:trHeight w:val="510" w:hRule="atLeast"/>
        </w:trPr>
        <w:tc>
          <w:tcPr>
            <w:tcW w:w="1929"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全椒县</w:t>
            </w:r>
          </w:p>
        </w:tc>
        <w:tc>
          <w:tcPr>
            <w:tcW w:w="103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6</w:t>
            </w:r>
          </w:p>
        </w:tc>
        <w:tc>
          <w:tcPr>
            <w:tcW w:w="81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4</w:t>
            </w:r>
          </w:p>
        </w:tc>
        <w:tc>
          <w:tcPr>
            <w:tcW w:w="1015"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8</w:t>
            </w:r>
          </w:p>
        </w:tc>
        <w:tc>
          <w:tcPr>
            <w:tcW w:w="83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4</w:t>
            </w:r>
          </w:p>
        </w:tc>
        <w:tc>
          <w:tcPr>
            <w:tcW w:w="977"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7</w:t>
            </w:r>
          </w:p>
        </w:tc>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ascii="仿宋" w:hAnsi="仿宋" w:eastAsia="仿宋" w:cs="宋体"/>
                <w:sz w:val="24"/>
                <w:szCs w:val="24"/>
                <w:lang w:val="en-US"/>
              </w:rPr>
              <w:t>4</w:t>
            </w:r>
          </w:p>
        </w:tc>
        <w:tc>
          <w:tcPr>
            <w:tcW w:w="1068"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9</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1102"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10</w:t>
            </w:r>
          </w:p>
        </w:tc>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97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40</w:t>
            </w:r>
          </w:p>
        </w:tc>
        <w:tc>
          <w:tcPr>
            <w:tcW w:w="87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5</w:t>
            </w:r>
          </w:p>
        </w:tc>
      </w:tr>
      <w:tr>
        <w:tblPrEx>
          <w:tblCellMar>
            <w:top w:w="0" w:type="dxa"/>
            <w:left w:w="108" w:type="dxa"/>
            <w:bottom w:w="0" w:type="dxa"/>
            <w:right w:w="108" w:type="dxa"/>
          </w:tblCellMar>
        </w:tblPrEx>
        <w:trPr>
          <w:trHeight w:val="510" w:hRule="atLeast"/>
        </w:trPr>
        <w:tc>
          <w:tcPr>
            <w:tcW w:w="1929"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定远县</w:t>
            </w:r>
          </w:p>
        </w:tc>
        <w:tc>
          <w:tcPr>
            <w:tcW w:w="103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8</w:t>
            </w:r>
          </w:p>
        </w:tc>
        <w:tc>
          <w:tcPr>
            <w:tcW w:w="81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9</w:t>
            </w:r>
          </w:p>
        </w:tc>
        <w:tc>
          <w:tcPr>
            <w:tcW w:w="1015"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10</w:t>
            </w:r>
          </w:p>
        </w:tc>
        <w:tc>
          <w:tcPr>
            <w:tcW w:w="83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p>
        </w:tc>
        <w:tc>
          <w:tcPr>
            <w:tcW w:w="977"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9</w:t>
            </w:r>
          </w:p>
        </w:tc>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w:t>
            </w:r>
          </w:p>
        </w:tc>
        <w:tc>
          <w:tcPr>
            <w:tcW w:w="1068"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11</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1102"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12</w:t>
            </w:r>
          </w:p>
        </w:tc>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１</w:t>
            </w:r>
          </w:p>
        </w:tc>
        <w:tc>
          <w:tcPr>
            <w:tcW w:w="97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50</w:t>
            </w:r>
          </w:p>
        </w:tc>
        <w:tc>
          <w:tcPr>
            <w:tcW w:w="87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r>
              <w:rPr>
                <w:rFonts w:ascii="仿宋" w:hAnsi="仿宋" w:eastAsia="仿宋" w:cs="宋体"/>
                <w:sz w:val="24"/>
                <w:szCs w:val="24"/>
                <w:lang w:val="en-US"/>
              </w:rPr>
              <w:t>2</w:t>
            </w:r>
          </w:p>
        </w:tc>
      </w:tr>
      <w:tr>
        <w:tblPrEx>
          <w:tblCellMar>
            <w:top w:w="0" w:type="dxa"/>
            <w:left w:w="108" w:type="dxa"/>
            <w:bottom w:w="0" w:type="dxa"/>
            <w:right w:w="108" w:type="dxa"/>
          </w:tblCellMar>
        </w:tblPrEx>
        <w:trPr>
          <w:trHeight w:val="510" w:hRule="atLeast"/>
        </w:trPr>
        <w:tc>
          <w:tcPr>
            <w:tcW w:w="1929"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凤阳县</w:t>
            </w:r>
          </w:p>
        </w:tc>
        <w:tc>
          <w:tcPr>
            <w:tcW w:w="103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6</w:t>
            </w:r>
          </w:p>
        </w:tc>
        <w:tc>
          <w:tcPr>
            <w:tcW w:w="81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w:t>
            </w:r>
          </w:p>
        </w:tc>
        <w:tc>
          <w:tcPr>
            <w:tcW w:w="1015"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8</w:t>
            </w:r>
          </w:p>
        </w:tc>
        <w:tc>
          <w:tcPr>
            <w:tcW w:w="83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w:t>
            </w:r>
          </w:p>
        </w:tc>
        <w:tc>
          <w:tcPr>
            <w:tcW w:w="977"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7</w:t>
            </w:r>
          </w:p>
        </w:tc>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w:t>
            </w:r>
          </w:p>
        </w:tc>
        <w:tc>
          <w:tcPr>
            <w:tcW w:w="1068"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9</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2</w:t>
            </w:r>
          </w:p>
        </w:tc>
        <w:tc>
          <w:tcPr>
            <w:tcW w:w="1102"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10</w:t>
            </w:r>
          </w:p>
        </w:tc>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p>
        </w:tc>
        <w:tc>
          <w:tcPr>
            <w:tcW w:w="97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40</w:t>
            </w:r>
          </w:p>
        </w:tc>
        <w:tc>
          <w:tcPr>
            <w:tcW w:w="87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1</w:t>
            </w:r>
            <w:r>
              <w:rPr>
                <w:rFonts w:ascii="仿宋" w:hAnsi="仿宋" w:eastAsia="仿宋" w:cs="宋体"/>
                <w:sz w:val="24"/>
                <w:szCs w:val="24"/>
                <w:lang w:val="en-US"/>
              </w:rPr>
              <w:t>5</w:t>
            </w:r>
          </w:p>
        </w:tc>
      </w:tr>
      <w:tr>
        <w:tblPrEx>
          <w:tblCellMar>
            <w:top w:w="0" w:type="dxa"/>
            <w:left w:w="108" w:type="dxa"/>
            <w:bottom w:w="0" w:type="dxa"/>
            <w:right w:w="108" w:type="dxa"/>
          </w:tblCellMar>
        </w:tblPrEx>
        <w:trPr>
          <w:trHeight w:val="510" w:hRule="atLeast"/>
        </w:trPr>
        <w:tc>
          <w:tcPr>
            <w:tcW w:w="1929"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仿宋" w:hAnsi="仿宋" w:eastAsia="仿宋" w:cs="宋体"/>
                <w:sz w:val="24"/>
                <w:szCs w:val="24"/>
                <w:lang w:val="en-US"/>
              </w:rPr>
              <w:t>合计</w:t>
            </w:r>
          </w:p>
        </w:tc>
        <w:tc>
          <w:tcPr>
            <w:tcW w:w="103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等线" w:hAnsi="等线" w:eastAsia="等线"/>
                <w:color w:val="000000"/>
                <w:sz w:val="22"/>
                <w:szCs w:val="22"/>
              </w:rPr>
              <w:t>137</w:t>
            </w:r>
          </w:p>
        </w:tc>
        <w:tc>
          <w:tcPr>
            <w:tcW w:w="81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等线" w:hAnsi="等线" w:eastAsia="等线"/>
                <w:color w:val="000000"/>
                <w:sz w:val="22"/>
                <w:szCs w:val="22"/>
              </w:rPr>
              <w:t>50</w:t>
            </w:r>
          </w:p>
        </w:tc>
        <w:tc>
          <w:tcPr>
            <w:tcW w:w="1015"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等线" w:hAnsi="等线" w:eastAsia="等线"/>
                <w:color w:val="000000"/>
                <w:sz w:val="22"/>
                <w:szCs w:val="22"/>
              </w:rPr>
              <w:t>115</w:t>
            </w:r>
          </w:p>
        </w:tc>
        <w:tc>
          <w:tcPr>
            <w:tcW w:w="83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等线" w:hAnsi="等线" w:eastAsia="等线"/>
                <w:color w:val="000000"/>
                <w:sz w:val="22"/>
                <w:szCs w:val="22"/>
              </w:rPr>
              <w:t>42</w:t>
            </w:r>
          </w:p>
        </w:tc>
        <w:tc>
          <w:tcPr>
            <w:tcW w:w="977"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等线" w:hAnsi="等线" w:eastAsia="等线"/>
                <w:color w:val="000000"/>
                <w:sz w:val="22"/>
                <w:szCs w:val="22"/>
              </w:rPr>
              <w:t>106</w:t>
            </w:r>
          </w:p>
        </w:tc>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等线" w:hAnsi="等线" w:eastAsia="等线"/>
                <w:color w:val="000000"/>
                <w:sz w:val="22"/>
                <w:szCs w:val="22"/>
              </w:rPr>
              <w:t>42</w:t>
            </w:r>
          </w:p>
        </w:tc>
        <w:tc>
          <w:tcPr>
            <w:tcW w:w="1068"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等线" w:hAnsi="等线" w:eastAsia="等线"/>
                <w:color w:val="000000"/>
                <w:sz w:val="22"/>
                <w:szCs w:val="22"/>
              </w:rPr>
              <w:t>119</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等线" w:hAnsi="等线" w:eastAsia="等线"/>
                <w:color w:val="000000"/>
                <w:sz w:val="22"/>
                <w:szCs w:val="22"/>
              </w:rPr>
              <w:t>20</w:t>
            </w:r>
          </w:p>
        </w:tc>
        <w:tc>
          <w:tcPr>
            <w:tcW w:w="1102"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等线" w:hAnsi="等线" w:eastAsia="等线"/>
                <w:color w:val="000000"/>
                <w:sz w:val="22"/>
                <w:szCs w:val="22"/>
              </w:rPr>
              <w:t>128</w:t>
            </w:r>
          </w:p>
        </w:tc>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等线" w:hAnsi="等线" w:eastAsia="等线"/>
                <w:color w:val="000000"/>
                <w:sz w:val="22"/>
                <w:szCs w:val="22"/>
              </w:rPr>
              <w:t>14</w:t>
            </w:r>
          </w:p>
        </w:tc>
        <w:tc>
          <w:tcPr>
            <w:tcW w:w="979" w:type="dxa"/>
            <w:tcBorders>
              <w:top w:val="nil"/>
              <w:left w:val="nil"/>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等线" w:hAnsi="等线" w:eastAsia="等线"/>
                <w:color w:val="000000"/>
                <w:sz w:val="22"/>
                <w:szCs w:val="22"/>
              </w:rPr>
              <w:t>605</w:t>
            </w:r>
          </w:p>
        </w:tc>
        <w:tc>
          <w:tcPr>
            <w:tcW w:w="87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spacing w:line="240" w:lineRule="auto"/>
              <w:ind w:firstLine="0" w:firstLineChars="0"/>
              <w:jc w:val="center"/>
              <w:rPr>
                <w:rFonts w:ascii="仿宋" w:hAnsi="仿宋" w:eastAsia="仿宋" w:cs="宋体"/>
                <w:sz w:val="24"/>
                <w:szCs w:val="24"/>
                <w:lang w:val="en-US"/>
              </w:rPr>
            </w:pPr>
            <w:r>
              <w:rPr>
                <w:rFonts w:hint="eastAsia" w:ascii="等线" w:hAnsi="等线" w:eastAsia="等线"/>
                <w:color w:val="000000"/>
                <w:sz w:val="22"/>
                <w:szCs w:val="22"/>
              </w:rPr>
              <w:t>168</w:t>
            </w:r>
          </w:p>
        </w:tc>
      </w:tr>
      <w:bookmarkEnd w:id="88"/>
    </w:tbl>
    <w:p>
      <w:pPr>
        <w:spacing w:line="240" w:lineRule="auto"/>
        <w:ind w:right="1120" w:firstLine="420"/>
        <w:jc w:val="right"/>
        <w:rPr>
          <w:sz w:val="21"/>
          <w:szCs w:val="24"/>
        </w:rPr>
      </w:pPr>
    </w:p>
    <w:p>
      <w:pPr>
        <w:spacing w:before="260" w:after="260" w:line="800" w:lineRule="exact"/>
        <w:ind w:firstLine="0" w:firstLineChars="0"/>
        <w:rPr>
          <w:rFonts w:ascii="黑体" w:hAnsi="黑体" w:eastAsia="黑体" w:cs="黑体"/>
          <w:b/>
          <w:sz w:val="36"/>
          <w:szCs w:val="36"/>
        </w:rPr>
        <w:sectPr>
          <w:pgSz w:w="16838" w:h="11906" w:orient="landscape"/>
          <w:pgMar w:top="1440" w:right="1800" w:bottom="1440" w:left="1800" w:header="680" w:footer="992" w:gutter="0"/>
          <w:cols w:space="425" w:num="1"/>
          <w:docGrid w:linePitch="381" w:charSpace="0"/>
        </w:sectPr>
      </w:pPr>
    </w:p>
    <w:p>
      <w:pPr>
        <w:pStyle w:val="3"/>
        <w:jc w:val="center"/>
        <w:rPr>
          <w:rFonts w:ascii="黑体" w:hAnsi="黑体" w:eastAsia="黑体"/>
          <w:sz w:val="32"/>
          <w:szCs w:val="32"/>
        </w:rPr>
      </w:pPr>
      <w:bookmarkStart w:id="89" w:name="_Toc89958981"/>
      <w:r>
        <w:rPr>
          <w:rFonts w:hint="eastAsia" w:ascii="黑体" w:hAnsi="黑体" w:eastAsia="黑体"/>
          <w:sz w:val="32"/>
          <w:szCs w:val="32"/>
        </w:rPr>
        <w:t>附件九：名词释义</w:t>
      </w:r>
      <w:bookmarkEnd w:id="89"/>
    </w:p>
    <w:p>
      <w:pPr>
        <w:spacing w:line="500" w:lineRule="exact"/>
        <w:ind w:firstLine="0" w:firstLineChars="0"/>
        <w:jc w:val="both"/>
        <w:rPr>
          <w:rFonts w:ascii="仿宋" w:hAnsi="仿宋" w:eastAsia="仿宋"/>
          <w:sz w:val="32"/>
          <w:szCs w:val="32"/>
        </w:rPr>
      </w:pPr>
      <w:r>
        <w:rPr>
          <w:rFonts w:hint="eastAsia" w:ascii="仿宋" w:hAnsi="仿宋" w:eastAsia="仿宋"/>
          <w:sz w:val="32"/>
          <w:szCs w:val="32"/>
        </w:rPr>
        <w:t>[1]“五会”“四考”“三必查”：人大有建议、政协有提案、常委会有研究、政府办公会有强调、消防联席会议有部署，综治、效能、安全、消防有考核，政府领导带队督查、行业部门安全检查和重大安保联合督查有安排。</w:t>
      </w:r>
    </w:p>
    <w:p>
      <w:pPr>
        <w:spacing w:line="500" w:lineRule="exact"/>
        <w:ind w:firstLine="0" w:firstLineChars="0"/>
        <w:jc w:val="both"/>
        <w:rPr>
          <w:rFonts w:ascii="仿宋" w:hAnsi="仿宋" w:eastAsia="仿宋"/>
          <w:sz w:val="32"/>
          <w:szCs w:val="32"/>
        </w:rPr>
      </w:pPr>
      <w:r>
        <w:rPr>
          <w:rFonts w:hint="eastAsia" w:ascii="仿宋" w:hAnsi="仿宋" w:eastAsia="仿宋"/>
          <w:sz w:val="32"/>
          <w:szCs w:val="32"/>
        </w:rPr>
        <w:t xml:space="preserve">[2]四类重点场所：依据《安徽消防安全专项整治三年行动实施方案》，四类重点场所是指高层建筑、大型商业综合体、石油化工企业、物流仓储企业四类场所。 </w:t>
      </w:r>
    </w:p>
    <w:p>
      <w:pPr>
        <w:spacing w:line="500" w:lineRule="exact"/>
        <w:ind w:firstLine="0" w:firstLineChars="0"/>
        <w:jc w:val="both"/>
        <w:rPr>
          <w:rFonts w:ascii="仿宋" w:hAnsi="仿宋" w:eastAsia="仿宋"/>
          <w:sz w:val="32"/>
          <w:szCs w:val="32"/>
        </w:rPr>
      </w:pPr>
      <w:r>
        <w:rPr>
          <w:rFonts w:hint="eastAsia" w:ascii="仿宋" w:hAnsi="仿宋" w:eastAsia="仿宋"/>
          <w:sz w:val="32"/>
          <w:szCs w:val="32"/>
        </w:rPr>
        <w:t>[3]五实N岗：建立“五实N岗”责任体系，其中“五实”包括主体实责、岗位实名、培训实操、器材实用、运行实效；“N岗”包括第一责任人岗、管理人岗、门店责任岗、门店包保岗、消防控制室值班岗、消防巡查岗、消防设施维保岗、应急处置岗、宣传培训岗、效能评估岗等。</w:t>
      </w:r>
    </w:p>
    <w:p>
      <w:pPr>
        <w:spacing w:line="500" w:lineRule="exact"/>
        <w:ind w:firstLine="0" w:firstLineChars="0"/>
        <w:jc w:val="both"/>
        <w:rPr>
          <w:rFonts w:ascii="仿宋" w:hAnsi="仿宋" w:eastAsia="仿宋"/>
          <w:sz w:val="32"/>
          <w:szCs w:val="32"/>
        </w:rPr>
      </w:pPr>
      <w:r>
        <w:rPr>
          <w:rFonts w:hint="eastAsia" w:ascii="仿宋" w:hAnsi="仿宋" w:eastAsia="仿宋"/>
          <w:sz w:val="32"/>
          <w:szCs w:val="32"/>
        </w:rPr>
        <w:t xml:space="preserve">[4]滁州市“5688”发展目标：到“十四五”末，全市经济总量突破5000亿元，财政收入达到600亿元，人均地区生产总值达到长三角平均水平的80%以上，跻身全国城市前80强。 </w:t>
      </w:r>
    </w:p>
    <w:p>
      <w:pPr>
        <w:spacing w:line="500" w:lineRule="exact"/>
        <w:ind w:firstLine="0" w:firstLineChars="0"/>
        <w:jc w:val="both"/>
        <w:rPr>
          <w:rFonts w:ascii="仿宋" w:hAnsi="仿宋" w:eastAsia="仿宋"/>
          <w:sz w:val="32"/>
          <w:szCs w:val="32"/>
        </w:rPr>
      </w:pPr>
      <w:r>
        <w:rPr>
          <w:rFonts w:hint="eastAsia" w:ascii="仿宋" w:hAnsi="仿宋" w:eastAsia="仿宋"/>
          <w:sz w:val="32"/>
          <w:szCs w:val="32"/>
        </w:rPr>
        <w:t>[5]双圈互动、一区一基地:“双圈”是指“南京都市圈”与 “合肥都市圈”，“一区一基地”是指 “东部大江北协同发展区”与“西部大工业基地”。</w:t>
      </w:r>
    </w:p>
    <w:p>
      <w:pPr>
        <w:spacing w:line="500" w:lineRule="exact"/>
        <w:ind w:firstLine="0" w:firstLineChars="0"/>
        <w:jc w:val="both"/>
        <w:rPr>
          <w:rFonts w:ascii="仿宋" w:hAnsi="仿宋" w:eastAsia="仿宋"/>
          <w:sz w:val="32"/>
          <w:szCs w:val="32"/>
        </w:rPr>
      </w:pPr>
      <w:r>
        <w:rPr>
          <w:rFonts w:hint="eastAsia" w:ascii="仿宋" w:hAnsi="仿宋" w:eastAsia="仿宋"/>
          <w:sz w:val="32"/>
          <w:szCs w:val="32"/>
        </w:rPr>
        <w:t>[6]东部大江北协同发展区：滁州经开区、苏滁高新区、琅琊新城、顶山-汊河新型功能区、浦口-南谯新型功能区、六合－天长新型功能区、浦口－全椒新型功能区。</w:t>
      </w:r>
    </w:p>
    <w:p>
      <w:pPr>
        <w:spacing w:line="500" w:lineRule="exact"/>
        <w:ind w:firstLine="0" w:firstLineChars="0"/>
        <w:jc w:val="both"/>
        <w:rPr>
          <w:rFonts w:ascii="仿宋" w:hAnsi="仿宋" w:eastAsia="仿宋"/>
          <w:sz w:val="32"/>
          <w:szCs w:val="32"/>
        </w:rPr>
      </w:pPr>
      <w:r>
        <w:rPr>
          <w:rFonts w:hint="eastAsia" w:ascii="仿宋" w:hAnsi="仿宋" w:eastAsia="仿宋"/>
          <w:sz w:val="32"/>
          <w:szCs w:val="32"/>
        </w:rPr>
        <w:t xml:space="preserve">[7]西部大工业基地：定远盐化产业基地、凤阳硅基新材料产业基地、明光绿色涂料及凹凸棒产业基地、明光－盱眙新型功能区。 </w:t>
      </w:r>
    </w:p>
    <w:p>
      <w:pPr>
        <w:spacing w:line="500" w:lineRule="exact"/>
        <w:ind w:firstLine="0" w:firstLineChars="0"/>
        <w:jc w:val="both"/>
        <w:rPr>
          <w:rFonts w:ascii="仿宋" w:hAnsi="仿宋" w:eastAsia="仿宋"/>
          <w:sz w:val="32"/>
          <w:szCs w:val="32"/>
        </w:rPr>
      </w:pPr>
      <w:r>
        <w:rPr>
          <w:rFonts w:hint="eastAsia" w:ascii="仿宋" w:hAnsi="仿宋" w:eastAsia="仿宋"/>
          <w:sz w:val="32"/>
          <w:szCs w:val="32"/>
        </w:rPr>
        <w:t>[8]“一镇一委一站、一村一队一员”：每个乡镇（街道）成立消防安全委员会和消防工作站，每村建成一支志愿消防队和设置1名消防网格员。</w:t>
      </w:r>
    </w:p>
    <w:p>
      <w:pPr>
        <w:spacing w:line="500" w:lineRule="exact"/>
        <w:ind w:firstLine="0" w:firstLineChars="0"/>
        <w:jc w:val="both"/>
        <w:rPr>
          <w:rFonts w:ascii="仿宋" w:hAnsi="仿宋" w:eastAsia="仿宋"/>
          <w:sz w:val="32"/>
          <w:szCs w:val="32"/>
        </w:rPr>
      </w:pPr>
      <w:r>
        <w:rPr>
          <w:rFonts w:hint="eastAsia" w:ascii="仿宋" w:hAnsi="仿宋" w:eastAsia="仿宋"/>
          <w:sz w:val="32"/>
          <w:szCs w:val="32"/>
        </w:rPr>
        <w:t>[9]“1310”灭火救援</w:t>
      </w:r>
      <w:r>
        <w:rPr>
          <w:rFonts w:hint="eastAsia" w:ascii="仿宋" w:hAnsi="仿宋" w:eastAsia="仿宋"/>
          <w:sz w:val="32"/>
          <w:szCs w:val="32"/>
          <w:lang w:val="en-US"/>
        </w:rPr>
        <w:t>模式</w:t>
      </w:r>
      <w:r>
        <w:rPr>
          <w:rFonts w:hint="eastAsia" w:ascii="仿宋" w:hAnsi="仿宋" w:eastAsia="仿宋"/>
          <w:sz w:val="32"/>
          <w:szCs w:val="32"/>
        </w:rPr>
        <w:t>：微型消防站1分钟内到场、村居志愿消防队3分钟内到场、乡镇消防队10分钟内到场，形成多元战力梯次进攻的整体合力。</w:t>
      </w:r>
    </w:p>
    <w:p>
      <w:pPr>
        <w:spacing w:line="500" w:lineRule="exact"/>
        <w:ind w:firstLine="0" w:firstLineChars="0"/>
        <w:jc w:val="both"/>
        <w:rPr>
          <w:rFonts w:ascii="仿宋" w:hAnsi="仿宋" w:eastAsia="仿宋"/>
          <w:sz w:val="32"/>
          <w:szCs w:val="32"/>
        </w:rPr>
      </w:pPr>
      <w:r>
        <w:rPr>
          <w:rFonts w:hint="eastAsia" w:ascii="仿宋" w:hAnsi="仿宋" w:eastAsia="仿宋"/>
          <w:sz w:val="32"/>
          <w:szCs w:val="32"/>
        </w:rPr>
        <w:t>[10]“码上回访”：消防执法文书上统一设置“回访二维码”，执法相对人可通过扫描二维码对执法情况进行评价。评价不满意的，由上级消防救援机构调查核实、跟踪督办、指导整改。</w:t>
      </w:r>
    </w:p>
    <w:sectPr>
      <w:headerReference r:id="rId17" w:type="default"/>
      <w:pgSz w:w="11906" w:h="16838"/>
      <w:pgMar w:top="1797" w:right="1440" w:bottom="1797" w:left="1440" w:header="624" w:footer="992" w:gutter="0"/>
      <w:cols w:space="425"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9"/>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p>
  <w:p>
    <w:pPr>
      <w:pStyle w:val="1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6138245"/>
      <w:docPartObj>
        <w:docPartGallery w:val="autotext"/>
      </w:docPartObj>
    </w:sdtPr>
    <w:sdtContent>
      <w:p>
        <w:pPr>
          <w:pStyle w:val="19"/>
          <w:ind w:firstLine="360"/>
          <w:jc w:val="center"/>
        </w:pPr>
        <w:r>
          <w:fldChar w:fldCharType="begin"/>
        </w:r>
        <w:r>
          <w:instrText xml:space="preserve">PAGE   \* MERGEFORMAT</w:instrText>
        </w:r>
        <w:r>
          <w:fldChar w:fldCharType="separate"/>
        </w:r>
        <w:r>
          <w:t>2</w:t>
        </w:r>
        <w:r>
          <w:fldChar w:fldCharType="end"/>
        </w:r>
      </w:p>
    </w:sdtContent>
  </w:sdt>
  <w:p>
    <w:pPr>
      <w:pStyle w:val="1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ind w:firstLine="360"/>
                            <w:jc w:val="center"/>
                          </w:pPr>
                          <w:r>
                            <w:fldChar w:fldCharType="begin"/>
                          </w:r>
                          <w:r>
                            <w:instrText xml:space="preserve">PAGE   \* MERGEFORMAT</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9"/>
                      <w:ind w:firstLine="360"/>
                      <w:jc w:val="center"/>
                    </w:pPr>
                    <w:r>
                      <w:fldChar w:fldCharType="begin"/>
                    </w:r>
                    <w:r>
                      <w:instrText xml:space="preserve">PAGE   \* MERGEFORMAT</w:instrText>
                    </w:r>
                    <w:r>
                      <w:fldChar w:fldCharType="separate"/>
                    </w:r>
                    <w:r>
                      <w:t>51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420"/>
      <w:rPr>
        <w:rFonts w:asciiTheme="minorEastAsia" w:hAnsiTheme="minorEastAsia" w:eastAsiaTheme="minor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滁州市“十四五”消防救援事业发展规划</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420"/>
      <w:rPr>
        <w:rFonts w:asciiTheme="minorEastAsia" w:hAnsiTheme="minorEastAsia" w:eastAsiaTheme="minorEastAsia"/>
        <w:sz w:val="21"/>
        <w:szCs w:val="21"/>
      </w:rPr>
    </w:pPr>
  </w:p>
  <w:p>
    <w:pPr>
      <w:pStyle w:val="20"/>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滁州市“十四五”消防救援事业发展规划</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滁州市“十四五”消防救援事业发展规划</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0" w:firstLineChars="0"/>
      <w:rPr>
        <w:rFonts w:asciiTheme="minorEastAsia" w:hAnsiTheme="minorEastAsia" w:eastAsiaTheme="minorEastAsia"/>
        <w:sz w:val="21"/>
        <w:szCs w:val="21"/>
      </w:rPr>
    </w:pPr>
  </w:p>
  <w:p>
    <w:pPr>
      <w:pStyle w:val="20"/>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滁州市“十四五”消防救援事业发展规划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4ZjE1MDgzNDA4NmFhYzQyZjc4ZjJiYzc3ZDg0NTYifQ=="/>
  </w:docVars>
  <w:rsids>
    <w:rsidRoot w:val="00D6543E"/>
    <w:rsid w:val="000017DC"/>
    <w:rsid w:val="0000248C"/>
    <w:rsid w:val="00002CBE"/>
    <w:rsid w:val="000035C3"/>
    <w:rsid w:val="000036D0"/>
    <w:rsid w:val="000038CE"/>
    <w:rsid w:val="00003BAB"/>
    <w:rsid w:val="00003F39"/>
    <w:rsid w:val="0000528E"/>
    <w:rsid w:val="00005664"/>
    <w:rsid w:val="00005A0A"/>
    <w:rsid w:val="00010298"/>
    <w:rsid w:val="00010D37"/>
    <w:rsid w:val="00013308"/>
    <w:rsid w:val="000142ED"/>
    <w:rsid w:val="0001486E"/>
    <w:rsid w:val="00014EE4"/>
    <w:rsid w:val="0001655F"/>
    <w:rsid w:val="00017B3E"/>
    <w:rsid w:val="00017E5B"/>
    <w:rsid w:val="00020412"/>
    <w:rsid w:val="00020EAD"/>
    <w:rsid w:val="000219C3"/>
    <w:rsid w:val="000219C4"/>
    <w:rsid w:val="00021BE8"/>
    <w:rsid w:val="00022338"/>
    <w:rsid w:val="0002251A"/>
    <w:rsid w:val="000231C5"/>
    <w:rsid w:val="00023EAD"/>
    <w:rsid w:val="00025357"/>
    <w:rsid w:val="0002640D"/>
    <w:rsid w:val="00026923"/>
    <w:rsid w:val="00026F28"/>
    <w:rsid w:val="00030B99"/>
    <w:rsid w:val="00030FC9"/>
    <w:rsid w:val="00031BB3"/>
    <w:rsid w:val="00031BFA"/>
    <w:rsid w:val="00032758"/>
    <w:rsid w:val="00032F4E"/>
    <w:rsid w:val="00033063"/>
    <w:rsid w:val="000335E7"/>
    <w:rsid w:val="000339AF"/>
    <w:rsid w:val="00033CEC"/>
    <w:rsid w:val="00033E84"/>
    <w:rsid w:val="0003464A"/>
    <w:rsid w:val="00035CCF"/>
    <w:rsid w:val="00036A06"/>
    <w:rsid w:val="00036AFD"/>
    <w:rsid w:val="00036C91"/>
    <w:rsid w:val="000405A5"/>
    <w:rsid w:val="000459BE"/>
    <w:rsid w:val="00045F6B"/>
    <w:rsid w:val="0004663B"/>
    <w:rsid w:val="0004703A"/>
    <w:rsid w:val="00047388"/>
    <w:rsid w:val="00047965"/>
    <w:rsid w:val="000503E7"/>
    <w:rsid w:val="00050485"/>
    <w:rsid w:val="00051B08"/>
    <w:rsid w:val="00051CAD"/>
    <w:rsid w:val="00051FDB"/>
    <w:rsid w:val="000537D2"/>
    <w:rsid w:val="00053980"/>
    <w:rsid w:val="00054972"/>
    <w:rsid w:val="00054AE0"/>
    <w:rsid w:val="000565DD"/>
    <w:rsid w:val="00056690"/>
    <w:rsid w:val="000568EC"/>
    <w:rsid w:val="00060255"/>
    <w:rsid w:val="00060BA1"/>
    <w:rsid w:val="00061097"/>
    <w:rsid w:val="00061C79"/>
    <w:rsid w:val="00062F5A"/>
    <w:rsid w:val="0006476C"/>
    <w:rsid w:val="00064892"/>
    <w:rsid w:val="0006523C"/>
    <w:rsid w:val="000658C2"/>
    <w:rsid w:val="00065AE9"/>
    <w:rsid w:val="000660E6"/>
    <w:rsid w:val="0006736E"/>
    <w:rsid w:val="000702E6"/>
    <w:rsid w:val="00071BF2"/>
    <w:rsid w:val="0007210B"/>
    <w:rsid w:val="00072D48"/>
    <w:rsid w:val="00073009"/>
    <w:rsid w:val="000736F0"/>
    <w:rsid w:val="0007389B"/>
    <w:rsid w:val="00074325"/>
    <w:rsid w:val="000743D7"/>
    <w:rsid w:val="000744B2"/>
    <w:rsid w:val="000747A3"/>
    <w:rsid w:val="000758D2"/>
    <w:rsid w:val="00075ADB"/>
    <w:rsid w:val="00077444"/>
    <w:rsid w:val="000778FC"/>
    <w:rsid w:val="00081C9B"/>
    <w:rsid w:val="00081DAB"/>
    <w:rsid w:val="00081F4A"/>
    <w:rsid w:val="000822B2"/>
    <w:rsid w:val="00082EDD"/>
    <w:rsid w:val="00085FC0"/>
    <w:rsid w:val="00086259"/>
    <w:rsid w:val="00086EE6"/>
    <w:rsid w:val="00087022"/>
    <w:rsid w:val="00087850"/>
    <w:rsid w:val="0008789D"/>
    <w:rsid w:val="000879A0"/>
    <w:rsid w:val="00087F04"/>
    <w:rsid w:val="0009045B"/>
    <w:rsid w:val="00090AE3"/>
    <w:rsid w:val="000943A1"/>
    <w:rsid w:val="00094520"/>
    <w:rsid w:val="00096617"/>
    <w:rsid w:val="0009662A"/>
    <w:rsid w:val="00096A3D"/>
    <w:rsid w:val="000974E3"/>
    <w:rsid w:val="00097961"/>
    <w:rsid w:val="000A04D4"/>
    <w:rsid w:val="000A0513"/>
    <w:rsid w:val="000A12E2"/>
    <w:rsid w:val="000A13B9"/>
    <w:rsid w:val="000A16E0"/>
    <w:rsid w:val="000A206F"/>
    <w:rsid w:val="000A2135"/>
    <w:rsid w:val="000A3811"/>
    <w:rsid w:val="000A3D5B"/>
    <w:rsid w:val="000A56D3"/>
    <w:rsid w:val="000A5A53"/>
    <w:rsid w:val="000A6309"/>
    <w:rsid w:val="000A63D2"/>
    <w:rsid w:val="000A7958"/>
    <w:rsid w:val="000A7B14"/>
    <w:rsid w:val="000A7D19"/>
    <w:rsid w:val="000B02CB"/>
    <w:rsid w:val="000B1333"/>
    <w:rsid w:val="000B1374"/>
    <w:rsid w:val="000B179F"/>
    <w:rsid w:val="000B2414"/>
    <w:rsid w:val="000B2831"/>
    <w:rsid w:val="000B2905"/>
    <w:rsid w:val="000B4BDE"/>
    <w:rsid w:val="000B5264"/>
    <w:rsid w:val="000B5DE7"/>
    <w:rsid w:val="000B6343"/>
    <w:rsid w:val="000B642B"/>
    <w:rsid w:val="000B72FB"/>
    <w:rsid w:val="000B742A"/>
    <w:rsid w:val="000C14B2"/>
    <w:rsid w:val="000C20B4"/>
    <w:rsid w:val="000C4B9C"/>
    <w:rsid w:val="000C5F0F"/>
    <w:rsid w:val="000C5F36"/>
    <w:rsid w:val="000C65C7"/>
    <w:rsid w:val="000D041D"/>
    <w:rsid w:val="000D0929"/>
    <w:rsid w:val="000D0A47"/>
    <w:rsid w:val="000D0C00"/>
    <w:rsid w:val="000D0FA1"/>
    <w:rsid w:val="000D20C6"/>
    <w:rsid w:val="000D22C2"/>
    <w:rsid w:val="000D29E9"/>
    <w:rsid w:val="000D2E75"/>
    <w:rsid w:val="000D302A"/>
    <w:rsid w:val="000D33C9"/>
    <w:rsid w:val="000D3680"/>
    <w:rsid w:val="000D36CB"/>
    <w:rsid w:val="000D4053"/>
    <w:rsid w:val="000D4BE8"/>
    <w:rsid w:val="000D4C21"/>
    <w:rsid w:val="000D6F83"/>
    <w:rsid w:val="000D75A4"/>
    <w:rsid w:val="000E0574"/>
    <w:rsid w:val="000E0C71"/>
    <w:rsid w:val="000E168C"/>
    <w:rsid w:val="000E1A86"/>
    <w:rsid w:val="000E1E5E"/>
    <w:rsid w:val="000E2473"/>
    <w:rsid w:val="000E2AF2"/>
    <w:rsid w:val="000E2F08"/>
    <w:rsid w:val="000E3246"/>
    <w:rsid w:val="000E3292"/>
    <w:rsid w:val="000E4BCB"/>
    <w:rsid w:val="000E702F"/>
    <w:rsid w:val="000E7821"/>
    <w:rsid w:val="000F0C29"/>
    <w:rsid w:val="000F1704"/>
    <w:rsid w:val="000F17C6"/>
    <w:rsid w:val="000F1A19"/>
    <w:rsid w:val="000F2507"/>
    <w:rsid w:val="000F2AA5"/>
    <w:rsid w:val="000F2F05"/>
    <w:rsid w:val="000F3AED"/>
    <w:rsid w:val="000F3DB2"/>
    <w:rsid w:val="000F463E"/>
    <w:rsid w:val="000F4E5A"/>
    <w:rsid w:val="000F5CDA"/>
    <w:rsid w:val="000F60C3"/>
    <w:rsid w:val="000F618C"/>
    <w:rsid w:val="000F6522"/>
    <w:rsid w:val="000F6A4A"/>
    <w:rsid w:val="001000F3"/>
    <w:rsid w:val="001010A0"/>
    <w:rsid w:val="00101150"/>
    <w:rsid w:val="00101296"/>
    <w:rsid w:val="00101331"/>
    <w:rsid w:val="00101427"/>
    <w:rsid w:val="0010273B"/>
    <w:rsid w:val="001052B1"/>
    <w:rsid w:val="00105C27"/>
    <w:rsid w:val="00105DAE"/>
    <w:rsid w:val="00107D24"/>
    <w:rsid w:val="0011045A"/>
    <w:rsid w:val="00110895"/>
    <w:rsid w:val="00110C17"/>
    <w:rsid w:val="00112012"/>
    <w:rsid w:val="0011278E"/>
    <w:rsid w:val="00113131"/>
    <w:rsid w:val="001131F8"/>
    <w:rsid w:val="0011386D"/>
    <w:rsid w:val="00114A80"/>
    <w:rsid w:val="00114F1D"/>
    <w:rsid w:val="00115273"/>
    <w:rsid w:val="0011641B"/>
    <w:rsid w:val="00117521"/>
    <w:rsid w:val="001211D0"/>
    <w:rsid w:val="00125D38"/>
    <w:rsid w:val="00127296"/>
    <w:rsid w:val="00127EDD"/>
    <w:rsid w:val="00130FB6"/>
    <w:rsid w:val="001312DD"/>
    <w:rsid w:val="00132075"/>
    <w:rsid w:val="001320D9"/>
    <w:rsid w:val="0013227E"/>
    <w:rsid w:val="00133283"/>
    <w:rsid w:val="001334B7"/>
    <w:rsid w:val="00133F80"/>
    <w:rsid w:val="0013448F"/>
    <w:rsid w:val="00135472"/>
    <w:rsid w:val="00136899"/>
    <w:rsid w:val="00136D81"/>
    <w:rsid w:val="00137778"/>
    <w:rsid w:val="00137A4C"/>
    <w:rsid w:val="00137A96"/>
    <w:rsid w:val="00140CB7"/>
    <w:rsid w:val="00140D51"/>
    <w:rsid w:val="00140EA6"/>
    <w:rsid w:val="0014200A"/>
    <w:rsid w:val="00144628"/>
    <w:rsid w:val="0014572C"/>
    <w:rsid w:val="00145F41"/>
    <w:rsid w:val="0014784C"/>
    <w:rsid w:val="00147F7A"/>
    <w:rsid w:val="001505ED"/>
    <w:rsid w:val="00150AEE"/>
    <w:rsid w:val="0015110D"/>
    <w:rsid w:val="00151F6D"/>
    <w:rsid w:val="001538E3"/>
    <w:rsid w:val="00153BA7"/>
    <w:rsid w:val="0015404D"/>
    <w:rsid w:val="00155708"/>
    <w:rsid w:val="00156238"/>
    <w:rsid w:val="00160354"/>
    <w:rsid w:val="001606EE"/>
    <w:rsid w:val="00161246"/>
    <w:rsid w:val="001614BD"/>
    <w:rsid w:val="001627E0"/>
    <w:rsid w:val="001639FC"/>
    <w:rsid w:val="001656B1"/>
    <w:rsid w:val="00165B98"/>
    <w:rsid w:val="00167010"/>
    <w:rsid w:val="00167B74"/>
    <w:rsid w:val="00167D41"/>
    <w:rsid w:val="001700D8"/>
    <w:rsid w:val="00170647"/>
    <w:rsid w:val="001711F7"/>
    <w:rsid w:val="001719A8"/>
    <w:rsid w:val="00171F02"/>
    <w:rsid w:val="001730AB"/>
    <w:rsid w:val="00174410"/>
    <w:rsid w:val="00175BB3"/>
    <w:rsid w:val="0017770C"/>
    <w:rsid w:val="00177A27"/>
    <w:rsid w:val="00180187"/>
    <w:rsid w:val="00180B87"/>
    <w:rsid w:val="0018162E"/>
    <w:rsid w:val="00182432"/>
    <w:rsid w:val="001829CC"/>
    <w:rsid w:val="00183271"/>
    <w:rsid w:val="001836B2"/>
    <w:rsid w:val="001842C7"/>
    <w:rsid w:val="001853B2"/>
    <w:rsid w:val="00185676"/>
    <w:rsid w:val="00185747"/>
    <w:rsid w:val="001879DB"/>
    <w:rsid w:val="00187A74"/>
    <w:rsid w:val="00187B53"/>
    <w:rsid w:val="001902DC"/>
    <w:rsid w:val="00190D5B"/>
    <w:rsid w:val="001916BF"/>
    <w:rsid w:val="00193AC4"/>
    <w:rsid w:val="001942B8"/>
    <w:rsid w:val="00196217"/>
    <w:rsid w:val="00196318"/>
    <w:rsid w:val="001965BF"/>
    <w:rsid w:val="00196731"/>
    <w:rsid w:val="00196967"/>
    <w:rsid w:val="00196AC3"/>
    <w:rsid w:val="001974F8"/>
    <w:rsid w:val="001977E7"/>
    <w:rsid w:val="00197980"/>
    <w:rsid w:val="00197F88"/>
    <w:rsid w:val="001A12A6"/>
    <w:rsid w:val="001A1F07"/>
    <w:rsid w:val="001A31C6"/>
    <w:rsid w:val="001A34E2"/>
    <w:rsid w:val="001A3A89"/>
    <w:rsid w:val="001A3FC7"/>
    <w:rsid w:val="001A4120"/>
    <w:rsid w:val="001A67F7"/>
    <w:rsid w:val="001A6EBD"/>
    <w:rsid w:val="001A7673"/>
    <w:rsid w:val="001A7BE1"/>
    <w:rsid w:val="001B0A0E"/>
    <w:rsid w:val="001B0EF3"/>
    <w:rsid w:val="001B1391"/>
    <w:rsid w:val="001B14D4"/>
    <w:rsid w:val="001B1748"/>
    <w:rsid w:val="001B1E57"/>
    <w:rsid w:val="001B2453"/>
    <w:rsid w:val="001B312F"/>
    <w:rsid w:val="001B3147"/>
    <w:rsid w:val="001B4188"/>
    <w:rsid w:val="001B4512"/>
    <w:rsid w:val="001B4D50"/>
    <w:rsid w:val="001B632D"/>
    <w:rsid w:val="001B694D"/>
    <w:rsid w:val="001B7177"/>
    <w:rsid w:val="001B75D7"/>
    <w:rsid w:val="001B79CA"/>
    <w:rsid w:val="001B7DCC"/>
    <w:rsid w:val="001C0168"/>
    <w:rsid w:val="001C0DBE"/>
    <w:rsid w:val="001C0DBF"/>
    <w:rsid w:val="001C1270"/>
    <w:rsid w:val="001C1445"/>
    <w:rsid w:val="001C296B"/>
    <w:rsid w:val="001C2CEF"/>
    <w:rsid w:val="001C339F"/>
    <w:rsid w:val="001C39CB"/>
    <w:rsid w:val="001C4379"/>
    <w:rsid w:val="001C594B"/>
    <w:rsid w:val="001C6016"/>
    <w:rsid w:val="001C6C5F"/>
    <w:rsid w:val="001C734B"/>
    <w:rsid w:val="001C7AAE"/>
    <w:rsid w:val="001D019A"/>
    <w:rsid w:val="001D07BA"/>
    <w:rsid w:val="001D0A68"/>
    <w:rsid w:val="001D0DF5"/>
    <w:rsid w:val="001D3E8C"/>
    <w:rsid w:val="001D4D07"/>
    <w:rsid w:val="001D5167"/>
    <w:rsid w:val="001D5C94"/>
    <w:rsid w:val="001D61C3"/>
    <w:rsid w:val="001D7D07"/>
    <w:rsid w:val="001D7EA8"/>
    <w:rsid w:val="001E1BC3"/>
    <w:rsid w:val="001E29F9"/>
    <w:rsid w:val="001E31CF"/>
    <w:rsid w:val="001E37F3"/>
    <w:rsid w:val="001E390D"/>
    <w:rsid w:val="001E43BE"/>
    <w:rsid w:val="001E4AC6"/>
    <w:rsid w:val="001E5300"/>
    <w:rsid w:val="001E56AE"/>
    <w:rsid w:val="001E5E9F"/>
    <w:rsid w:val="001E695F"/>
    <w:rsid w:val="001E7934"/>
    <w:rsid w:val="001F1DD4"/>
    <w:rsid w:val="001F2377"/>
    <w:rsid w:val="001F2CF2"/>
    <w:rsid w:val="001F2DA1"/>
    <w:rsid w:val="001F3DA0"/>
    <w:rsid w:val="001F57EC"/>
    <w:rsid w:val="001F5D3C"/>
    <w:rsid w:val="001F6EA4"/>
    <w:rsid w:val="001F7254"/>
    <w:rsid w:val="001F7FCA"/>
    <w:rsid w:val="002023E7"/>
    <w:rsid w:val="00202830"/>
    <w:rsid w:val="002029B3"/>
    <w:rsid w:val="00203C83"/>
    <w:rsid w:val="00204AD9"/>
    <w:rsid w:val="00204C0D"/>
    <w:rsid w:val="00204C86"/>
    <w:rsid w:val="00205114"/>
    <w:rsid w:val="002054A9"/>
    <w:rsid w:val="00205B71"/>
    <w:rsid w:val="00206110"/>
    <w:rsid w:val="0020687B"/>
    <w:rsid w:val="00207335"/>
    <w:rsid w:val="002107D8"/>
    <w:rsid w:val="00210D23"/>
    <w:rsid w:val="00211F68"/>
    <w:rsid w:val="002131A4"/>
    <w:rsid w:val="00213610"/>
    <w:rsid w:val="00213BAA"/>
    <w:rsid w:val="00214112"/>
    <w:rsid w:val="002145C9"/>
    <w:rsid w:val="002148CE"/>
    <w:rsid w:val="00220131"/>
    <w:rsid w:val="00220470"/>
    <w:rsid w:val="00221557"/>
    <w:rsid w:val="00221589"/>
    <w:rsid w:val="002217AD"/>
    <w:rsid w:val="00221E61"/>
    <w:rsid w:val="00222434"/>
    <w:rsid w:val="00222797"/>
    <w:rsid w:val="002227F9"/>
    <w:rsid w:val="00222F43"/>
    <w:rsid w:val="00223120"/>
    <w:rsid w:val="00223F79"/>
    <w:rsid w:val="00224059"/>
    <w:rsid w:val="002248F1"/>
    <w:rsid w:val="00225CC0"/>
    <w:rsid w:val="00225FB8"/>
    <w:rsid w:val="0022687C"/>
    <w:rsid w:val="002315CA"/>
    <w:rsid w:val="00231CF6"/>
    <w:rsid w:val="00232654"/>
    <w:rsid w:val="0023357C"/>
    <w:rsid w:val="002341D2"/>
    <w:rsid w:val="002347AD"/>
    <w:rsid w:val="002347E5"/>
    <w:rsid w:val="00234802"/>
    <w:rsid w:val="0023500E"/>
    <w:rsid w:val="00235A9C"/>
    <w:rsid w:val="00235FBF"/>
    <w:rsid w:val="002368F9"/>
    <w:rsid w:val="00236B90"/>
    <w:rsid w:val="0023741F"/>
    <w:rsid w:val="002403A1"/>
    <w:rsid w:val="002414B7"/>
    <w:rsid w:val="00241620"/>
    <w:rsid w:val="00241DED"/>
    <w:rsid w:val="002425E6"/>
    <w:rsid w:val="0024300A"/>
    <w:rsid w:val="002434BB"/>
    <w:rsid w:val="00245817"/>
    <w:rsid w:val="002463F7"/>
    <w:rsid w:val="00246E8A"/>
    <w:rsid w:val="00247670"/>
    <w:rsid w:val="00250312"/>
    <w:rsid w:val="002503E5"/>
    <w:rsid w:val="00250818"/>
    <w:rsid w:val="00251196"/>
    <w:rsid w:val="00251746"/>
    <w:rsid w:val="00251D5B"/>
    <w:rsid w:val="002523D7"/>
    <w:rsid w:val="0025324A"/>
    <w:rsid w:val="002542AB"/>
    <w:rsid w:val="002545B4"/>
    <w:rsid w:val="00254EA0"/>
    <w:rsid w:val="0025534A"/>
    <w:rsid w:val="00255D32"/>
    <w:rsid w:val="00255E3E"/>
    <w:rsid w:val="00256E6C"/>
    <w:rsid w:val="00257BCC"/>
    <w:rsid w:val="00257F0E"/>
    <w:rsid w:val="00260468"/>
    <w:rsid w:val="0026173D"/>
    <w:rsid w:val="002626B9"/>
    <w:rsid w:val="00262A7B"/>
    <w:rsid w:val="00263009"/>
    <w:rsid w:val="002631E0"/>
    <w:rsid w:val="00264C0E"/>
    <w:rsid w:val="0026600F"/>
    <w:rsid w:val="0026611C"/>
    <w:rsid w:val="00266168"/>
    <w:rsid w:val="002662D8"/>
    <w:rsid w:val="002664E0"/>
    <w:rsid w:val="00266F36"/>
    <w:rsid w:val="00267988"/>
    <w:rsid w:val="00267DBA"/>
    <w:rsid w:val="00267F10"/>
    <w:rsid w:val="00270400"/>
    <w:rsid w:val="00270D83"/>
    <w:rsid w:val="00270DAC"/>
    <w:rsid w:val="002726DE"/>
    <w:rsid w:val="00273BE6"/>
    <w:rsid w:val="00273E3B"/>
    <w:rsid w:val="002750A6"/>
    <w:rsid w:val="00275436"/>
    <w:rsid w:val="002767F9"/>
    <w:rsid w:val="00276D77"/>
    <w:rsid w:val="0027786B"/>
    <w:rsid w:val="002808A4"/>
    <w:rsid w:val="002808E3"/>
    <w:rsid w:val="00280A7E"/>
    <w:rsid w:val="00281A8D"/>
    <w:rsid w:val="00281D5A"/>
    <w:rsid w:val="0028263E"/>
    <w:rsid w:val="002861DB"/>
    <w:rsid w:val="00286B72"/>
    <w:rsid w:val="00286E59"/>
    <w:rsid w:val="002877A1"/>
    <w:rsid w:val="00290336"/>
    <w:rsid w:val="00290901"/>
    <w:rsid w:val="002912D2"/>
    <w:rsid w:val="002913DF"/>
    <w:rsid w:val="00291691"/>
    <w:rsid w:val="00291A00"/>
    <w:rsid w:val="0029394B"/>
    <w:rsid w:val="00294FB3"/>
    <w:rsid w:val="00295699"/>
    <w:rsid w:val="002968D6"/>
    <w:rsid w:val="002A063B"/>
    <w:rsid w:val="002A0F22"/>
    <w:rsid w:val="002A0F56"/>
    <w:rsid w:val="002A17B0"/>
    <w:rsid w:val="002A3821"/>
    <w:rsid w:val="002A420C"/>
    <w:rsid w:val="002A44F3"/>
    <w:rsid w:val="002A52EE"/>
    <w:rsid w:val="002A5802"/>
    <w:rsid w:val="002A5EF5"/>
    <w:rsid w:val="002A5FF8"/>
    <w:rsid w:val="002A64F6"/>
    <w:rsid w:val="002A667E"/>
    <w:rsid w:val="002A6D5B"/>
    <w:rsid w:val="002B0388"/>
    <w:rsid w:val="002B0AF6"/>
    <w:rsid w:val="002B1287"/>
    <w:rsid w:val="002B1331"/>
    <w:rsid w:val="002B135D"/>
    <w:rsid w:val="002B3424"/>
    <w:rsid w:val="002B355C"/>
    <w:rsid w:val="002B3A62"/>
    <w:rsid w:val="002B3D8C"/>
    <w:rsid w:val="002B3E99"/>
    <w:rsid w:val="002B41D9"/>
    <w:rsid w:val="002B57E6"/>
    <w:rsid w:val="002B58B6"/>
    <w:rsid w:val="002B66F9"/>
    <w:rsid w:val="002B71DF"/>
    <w:rsid w:val="002B7630"/>
    <w:rsid w:val="002B7BDB"/>
    <w:rsid w:val="002C18AA"/>
    <w:rsid w:val="002C1E98"/>
    <w:rsid w:val="002C32F4"/>
    <w:rsid w:val="002C3513"/>
    <w:rsid w:val="002C37B6"/>
    <w:rsid w:val="002C3AA7"/>
    <w:rsid w:val="002C4637"/>
    <w:rsid w:val="002C4A68"/>
    <w:rsid w:val="002C50FD"/>
    <w:rsid w:val="002C65D0"/>
    <w:rsid w:val="002C694F"/>
    <w:rsid w:val="002C6ABA"/>
    <w:rsid w:val="002C7A5C"/>
    <w:rsid w:val="002C7E02"/>
    <w:rsid w:val="002D0CD8"/>
    <w:rsid w:val="002D0F8A"/>
    <w:rsid w:val="002D11B5"/>
    <w:rsid w:val="002D22A0"/>
    <w:rsid w:val="002D2B8C"/>
    <w:rsid w:val="002D428E"/>
    <w:rsid w:val="002D57C3"/>
    <w:rsid w:val="002D7BF6"/>
    <w:rsid w:val="002E014D"/>
    <w:rsid w:val="002E1792"/>
    <w:rsid w:val="002E19AC"/>
    <w:rsid w:val="002E1AE3"/>
    <w:rsid w:val="002E2A84"/>
    <w:rsid w:val="002E2F3D"/>
    <w:rsid w:val="002E3C88"/>
    <w:rsid w:val="002E4861"/>
    <w:rsid w:val="002E6010"/>
    <w:rsid w:val="002E733D"/>
    <w:rsid w:val="002E7E74"/>
    <w:rsid w:val="002F03E2"/>
    <w:rsid w:val="002F075C"/>
    <w:rsid w:val="002F0B39"/>
    <w:rsid w:val="002F1DB2"/>
    <w:rsid w:val="002F20FE"/>
    <w:rsid w:val="002F51B3"/>
    <w:rsid w:val="002F5831"/>
    <w:rsid w:val="002F734F"/>
    <w:rsid w:val="002F7A1F"/>
    <w:rsid w:val="002F7E29"/>
    <w:rsid w:val="003003A8"/>
    <w:rsid w:val="00300D27"/>
    <w:rsid w:val="00301B6A"/>
    <w:rsid w:val="003025DD"/>
    <w:rsid w:val="00302837"/>
    <w:rsid w:val="00302DCD"/>
    <w:rsid w:val="003031BA"/>
    <w:rsid w:val="00303423"/>
    <w:rsid w:val="00304796"/>
    <w:rsid w:val="0030491F"/>
    <w:rsid w:val="00304C68"/>
    <w:rsid w:val="003056AC"/>
    <w:rsid w:val="003058AF"/>
    <w:rsid w:val="00305EEA"/>
    <w:rsid w:val="0030607C"/>
    <w:rsid w:val="0030678B"/>
    <w:rsid w:val="00306CAF"/>
    <w:rsid w:val="00311591"/>
    <w:rsid w:val="003117EA"/>
    <w:rsid w:val="00311DCE"/>
    <w:rsid w:val="0031211D"/>
    <w:rsid w:val="00312474"/>
    <w:rsid w:val="00312BE5"/>
    <w:rsid w:val="00314417"/>
    <w:rsid w:val="00314494"/>
    <w:rsid w:val="003149F3"/>
    <w:rsid w:val="00314FB4"/>
    <w:rsid w:val="00314FF2"/>
    <w:rsid w:val="00315740"/>
    <w:rsid w:val="003218B1"/>
    <w:rsid w:val="003227CD"/>
    <w:rsid w:val="003235D0"/>
    <w:rsid w:val="00323680"/>
    <w:rsid w:val="003239AA"/>
    <w:rsid w:val="003246BC"/>
    <w:rsid w:val="00324880"/>
    <w:rsid w:val="00324A6B"/>
    <w:rsid w:val="00324DB8"/>
    <w:rsid w:val="00325694"/>
    <w:rsid w:val="00325DD0"/>
    <w:rsid w:val="003261B1"/>
    <w:rsid w:val="00326FB8"/>
    <w:rsid w:val="00327777"/>
    <w:rsid w:val="00330024"/>
    <w:rsid w:val="0033062B"/>
    <w:rsid w:val="00330BE7"/>
    <w:rsid w:val="00332541"/>
    <w:rsid w:val="003330BE"/>
    <w:rsid w:val="00334192"/>
    <w:rsid w:val="0033483D"/>
    <w:rsid w:val="00335B4C"/>
    <w:rsid w:val="00335DE6"/>
    <w:rsid w:val="003360D3"/>
    <w:rsid w:val="003362B5"/>
    <w:rsid w:val="0033638B"/>
    <w:rsid w:val="00336B3E"/>
    <w:rsid w:val="0033707B"/>
    <w:rsid w:val="003371A0"/>
    <w:rsid w:val="00337C67"/>
    <w:rsid w:val="00337D2B"/>
    <w:rsid w:val="003402DA"/>
    <w:rsid w:val="003412AF"/>
    <w:rsid w:val="003430B3"/>
    <w:rsid w:val="003437B3"/>
    <w:rsid w:val="003452B9"/>
    <w:rsid w:val="00345344"/>
    <w:rsid w:val="003454F0"/>
    <w:rsid w:val="00345869"/>
    <w:rsid w:val="00345CC4"/>
    <w:rsid w:val="003479AF"/>
    <w:rsid w:val="0035112A"/>
    <w:rsid w:val="003511AC"/>
    <w:rsid w:val="0035129F"/>
    <w:rsid w:val="003513CE"/>
    <w:rsid w:val="003518F6"/>
    <w:rsid w:val="003526AF"/>
    <w:rsid w:val="00352BFE"/>
    <w:rsid w:val="003531CB"/>
    <w:rsid w:val="00354688"/>
    <w:rsid w:val="0035614B"/>
    <w:rsid w:val="00356D11"/>
    <w:rsid w:val="00357C93"/>
    <w:rsid w:val="00361315"/>
    <w:rsid w:val="003614EF"/>
    <w:rsid w:val="00361D3B"/>
    <w:rsid w:val="00364D59"/>
    <w:rsid w:val="00365DE9"/>
    <w:rsid w:val="003668BE"/>
    <w:rsid w:val="00367AC9"/>
    <w:rsid w:val="00370BA2"/>
    <w:rsid w:val="0037187B"/>
    <w:rsid w:val="00371A81"/>
    <w:rsid w:val="003726CB"/>
    <w:rsid w:val="003739E9"/>
    <w:rsid w:val="00373A10"/>
    <w:rsid w:val="0037472D"/>
    <w:rsid w:val="00374B9D"/>
    <w:rsid w:val="003750BB"/>
    <w:rsid w:val="00376475"/>
    <w:rsid w:val="0037742C"/>
    <w:rsid w:val="0037772E"/>
    <w:rsid w:val="00377771"/>
    <w:rsid w:val="003811D3"/>
    <w:rsid w:val="0038187F"/>
    <w:rsid w:val="00382481"/>
    <w:rsid w:val="00382F13"/>
    <w:rsid w:val="00382FF5"/>
    <w:rsid w:val="00383E19"/>
    <w:rsid w:val="00383EE9"/>
    <w:rsid w:val="00384270"/>
    <w:rsid w:val="00385E85"/>
    <w:rsid w:val="00386E64"/>
    <w:rsid w:val="00386F99"/>
    <w:rsid w:val="00387389"/>
    <w:rsid w:val="00387756"/>
    <w:rsid w:val="003877B1"/>
    <w:rsid w:val="00387DA9"/>
    <w:rsid w:val="00390BB5"/>
    <w:rsid w:val="003911C3"/>
    <w:rsid w:val="00391AB9"/>
    <w:rsid w:val="00391AF8"/>
    <w:rsid w:val="00392118"/>
    <w:rsid w:val="00392299"/>
    <w:rsid w:val="00392762"/>
    <w:rsid w:val="0039294B"/>
    <w:rsid w:val="00393D84"/>
    <w:rsid w:val="00394124"/>
    <w:rsid w:val="003970D2"/>
    <w:rsid w:val="003972F9"/>
    <w:rsid w:val="003A1703"/>
    <w:rsid w:val="003A1FD2"/>
    <w:rsid w:val="003A4D60"/>
    <w:rsid w:val="003A60DE"/>
    <w:rsid w:val="003A6706"/>
    <w:rsid w:val="003A6ECD"/>
    <w:rsid w:val="003B07C5"/>
    <w:rsid w:val="003B0995"/>
    <w:rsid w:val="003B0CF4"/>
    <w:rsid w:val="003B18E9"/>
    <w:rsid w:val="003B1A2F"/>
    <w:rsid w:val="003B2706"/>
    <w:rsid w:val="003B4A71"/>
    <w:rsid w:val="003B4C6F"/>
    <w:rsid w:val="003B50F8"/>
    <w:rsid w:val="003B54AB"/>
    <w:rsid w:val="003B67DF"/>
    <w:rsid w:val="003B6C2F"/>
    <w:rsid w:val="003B72BF"/>
    <w:rsid w:val="003B731E"/>
    <w:rsid w:val="003B7C3F"/>
    <w:rsid w:val="003C0581"/>
    <w:rsid w:val="003C3600"/>
    <w:rsid w:val="003C369D"/>
    <w:rsid w:val="003C445A"/>
    <w:rsid w:val="003C4744"/>
    <w:rsid w:val="003C4F19"/>
    <w:rsid w:val="003C63AC"/>
    <w:rsid w:val="003C6443"/>
    <w:rsid w:val="003C6E30"/>
    <w:rsid w:val="003D0734"/>
    <w:rsid w:val="003D250B"/>
    <w:rsid w:val="003D26EF"/>
    <w:rsid w:val="003D2E84"/>
    <w:rsid w:val="003D42AD"/>
    <w:rsid w:val="003D4727"/>
    <w:rsid w:val="003D537A"/>
    <w:rsid w:val="003D5494"/>
    <w:rsid w:val="003D59E5"/>
    <w:rsid w:val="003D66D9"/>
    <w:rsid w:val="003D70D9"/>
    <w:rsid w:val="003D7488"/>
    <w:rsid w:val="003D784E"/>
    <w:rsid w:val="003D7A76"/>
    <w:rsid w:val="003D7B35"/>
    <w:rsid w:val="003E0DEE"/>
    <w:rsid w:val="003E1A94"/>
    <w:rsid w:val="003E2C55"/>
    <w:rsid w:val="003E32F2"/>
    <w:rsid w:val="003E39E5"/>
    <w:rsid w:val="003E3A7A"/>
    <w:rsid w:val="003E4122"/>
    <w:rsid w:val="003E4199"/>
    <w:rsid w:val="003E50C6"/>
    <w:rsid w:val="003E6C93"/>
    <w:rsid w:val="003E7780"/>
    <w:rsid w:val="003F0013"/>
    <w:rsid w:val="003F157F"/>
    <w:rsid w:val="003F1D5A"/>
    <w:rsid w:val="003F1DCF"/>
    <w:rsid w:val="003F1E92"/>
    <w:rsid w:val="003F28B3"/>
    <w:rsid w:val="003F30CD"/>
    <w:rsid w:val="003F3622"/>
    <w:rsid w:val="003F3808"/>
    <w:rsid w:val="003F4E50"/>
    <w:rsid w:val="003F537C"/>
    <w:rsid w:val="003F636E"/>
    <w:rsid w:val="003F64DD"/>
    <w:rsid w:val="003F654D"/>
    <w:rsid w:val="003F654E"/>
    <w:rsid w:val="003F73CE"/>
    <w:rsid w:val="00400186"/>
    <w:rsid w:val="004017F9"/>
    <w:rsid w:val="00401BDF"/>
    <w:rsid w:val="00403345"/>
    <w:rsid w:val="004035AC"/>
    <w:rsid w:val="00404613"/>
    <w:rsid w:val="0040482C"/>
    <w:rsid w:val="00405946"/>
    <w:rsid w:val="00405DEA"/>
    <w:rsid w:val="004060CC"/>
    <w:rsid w:val="004060E3"/>
    <w:rsid w:val="00406A09"/>
    <w:rsid w:val="00406BA9"/>
    <w:rsid w:val="00407342"/>
    <w:rsid w:val="00407389"/>
    <w:rsid w:val="00407742"/>
    <w:rsid w:val="004077F1"/>
    <w:rsid w:val="00407BAF"/>
    <w:rsid w:val="004103A8"/>
    <w:rsid w:val="00410C72"/>
    <w:rsid w:val="00411455"/>
    <w:rsid w:val="00412763"/>
    <w:rsid w:val="00412E0A"/>
    <w:rsid w:val="004130D9"/>
    <w:rsid w:val="00413EF8"/>
    <w:rsid w:val="00413EFF"/>
    <w:rsid w:val="004143F0"/>
    <w:rsid w:val="0041467A"/>
    <w:rsid w:val="00414A8B"/>
    <w:rsid w:val="00414E3F"/>
    <w:rsid w:val="00414F6C"/>
    <w:rsid w:val="004171D0"/>
    <w:rsid w:val="004219CC"/>
    <w:rsid w:val="00422514"/>
    <w:rsid w:val="004248AE"/>
    <w:rsid w:val="00425A68"/>
    <w:rsid w:val="00427346"/>
    <w:rsid w:val="00431BFC"/>
    <w:rsid w:val="00432509"/>
    <w:rsid w:val="00437C9A"/>
    <w:rsid w:val="00440931"/>
    <w:rsid w:val="00440F23"/>
    <w:rsid w:val="0044123F"/>
    <w:rsid w:val="004416EE"/>
    <w:rsid w:val="00441B32"/>
    <w:rsid w:val="00442D98"/>
    <w:rsid w:val="004433AA"/>
    <w:rsid w:val="004444B6"/>
    <w:rsid w:val="0044476B"/>
    <w:rsid w:val="004447D4"/>
    <w:rsid w:val="004449EE"/>
    <w:rsid w:val="00444D60"/>
    <w:rsid w:val="00445128"/>
    <w:rsid w:val="00446C75"/>
    <w:rsid w:val="004476C8"/>
    <w:rsid w:val="004517F8"/>
    <w:rsid w:val="004518CA"/>
    <w:rsid w:val="004532C3"/>
    <w:rsid w:val="00453773"/>
    <w:rsid w:val="00454491"/>
    <w:rsid w:val="00454BFC"/>
    <w:rsid w:val="004551BC"/>
    <w:rsid w:val="0045576F"/>
    <w:rsid w:val="0045631F"/>
    <w:rsid w:val="0045633F"/>
    <w:rsid w:val="00460AF0"/>
    <w:rsid w:val="00460DDC"/>
    <w:rsid w:val="004625D6"/>
    <w:rsid w:val="00462678"/>
    <w:rsid w:val="00462A52"/>
    <w:rsid w:val="004631BD"/>
    <w:rsid w:val="00463FD4"/>
    <w:rsid w:val="00464085"/>
    <w:rsid w:val="004645AA"/>
    <w:rsid w:val="00465AA3"/>
    <w:rsid w:val="00466F4C"/>
    <w:rsid w:val="004674E5"/>
    <w:rsid w:val="0046780A"/>
    <w:rsid w:val="004678DA"/>
    <w:rsid w:val="004702F2"/>
    <w:rsid w:val="0047079D"/>
    <w:rsid w:val="004713E7"/>
    <w:rsid w:val="00471C8D"/>
    <w:rsid w:val="00471D46"/>
    <w:rsid w:val="004734D0"/>
    <w:rsid w:val="004753A5"/>
    <w:rsid w:val="0047609E"/>
    <w:rsid w:val="004768DB"/>
    <w:rsid w:val="0047727D"/>
    <w:rsid w:val="00477697"/>
    <w:rsid w:val="00477993"/>
    <w:rsid w:val="0048199A"/>
    <w:rsid w:val="00481DE4"/>
    <w:rsid w:val="00482239"/>
    <w:rsid w:val="0048249D"/>
    <w:rsid w:val="00483C4D"/>
    <w:rsid w:val="00483CE2"/>
    <w:rsid w:val="00484D3D"/>
    <w:rsid w:val="004852B3"/>
    <w:rsid w:val="004861FF"/>
    <w:rsid w:val="00486F92"/>
    <w:rsid w:val="00487544"/>
    <w:rsid w:val="004879C7"/>
    <w:rsid w:val="00487FB0"/>
    <w:rsid w:val="00492782"/>
    <w:rsid w:val="004928C3"/>
    <w:rsid w:val="004954BA"/>
    <w:rsid w:val="0049626B"/>
    <w:rsid w:val="00496CE3"/>
    <w:rsid w:val="00496F93"/>
    <w:rsid w:val="004A0570"/>
    <w:rsid w:val="004A06E6"/>
    <w:rsid w:val="004A0F63"/>
    <w:rsid w:val="004A1235"/>
    <w:rsid w:val="004A21C6"/>
    <w:rsid w:val="004A2557"/>
    <w:rsid w:val="004A2F22"/>
    <w:rsid w:val="004A3E56"/>
    <w:rsid w:val="004A4694"/>
    <w:rsid w:val="004A4AEE"/>
    <w:rsid w:val="004A581A"/>
    <w:rsid w:val="004A6458"/>
    <w:rsid w:val="004A671F"/>
    <w:rsid w:val="004A67F0"/>
    <w:rsid w:val="004B0CD4"/>
    <w:rsid w:val="004B1826"/>
    <w:rsid w:val="004B3C9E"/>
    <w:rsid w:val="004B6215"/>
    <w:rsid w:val="004B79F8"/>
    <w:rsid w:val="004C0163"/>
    <w:rsid w:val="004C0D97"/>
    <w:rsid w:val="004C1267"/>
    <w:rsid w:val="004C15CC"/>
    <w:rsid w:val="004C1FC9"/>
    <w:rsid w:val="004C2039"/>
    <w:rsid w:val="004C378B"/>
    <w:rsid w:val="004C3942"/>
    <w:rsid w:val="004C39D7"/>
    <w:rsid w:val="004C3DFE"/>
    <w:rsid w:val="004C562C"/>
    <w:rsid w:val="004C58B0"/>
    <w:rsid w:val="004C7BD2"/>
    <w:rsid w:val="004D0008"/>
    <w:rsid w:val="004D1092"/>
    <w:rsid w:val="004D1757"/>
    <w:rsid w:val="004D2847"/>
    <w:rsid w:val="004D29F0"/>
    <w:rsid w:val="004D4FC8"/>
    <w:rsid w:val="004D6882"/>
    <w:rsid w:val="004D73C2"/>
    <w:rsid w:val="004D7ECD"/>
    <w:rsid w:val="004E1060"/>
    <w:rsid w:val="004E2DB7"/>
    <w:rsid w:val="004E38F3"/>
    <w:rsid w:val="004E4724"/>
    <w:rsid w:val="004E493E"/>
    <w:rsid w:val="004E4C9C"/>
    <w:rsid w:val="004E630C"/>
    <w:rsid w:val="004E6500"/>
    <w:rsid w:val="004E7162"/>
    <w:rsid w:val="004F023C"/>
    <w:rsid w:val="004F1526"/>
    <w:rsid w:val="004F1C3C"/>
    <w:rsid w:val="004F27B0"/>
    <w:rsid w:val="004F2893"/>
    <w:rsid w:val="004F28AF"/>
    <w:rsid w:val="004F2DFF"/>
    <w:rsid w:val="004F3331"/>
    <w:rsid w:val="004F3411"/>
    <w:rsid w:val="004F483D"/>
    <w:rsid w:val="004F4874"/>
    <w:rsid w:val="004F4A6A"/>
    <w:rsid w:val="004F4ADB"/>
    <w:rsid w:val="004F4CE7"/>
    <w:rsid w:val="004F585E"/>
    <w:rsid w:val="004F5FA8"/>
    <w:rsid w:val="004F6427"/>
    <w:rsid w:val="004F6579"/>
    <w:rsid w:val="004F6866"/>
    <w:rsid w:val="004F6ADF"/>
    <w:rsid w:val="004F6CDB"/>
    <w:rsid w:val="00501D6B"/>
    <w:rsid w:val="00501FE6"/>
    <w:rsid w:val="0050261D"/>
    <w:rsid w:val="00503267"/>
    <w:rsid w:val="00503318"/>
    <w:rsid w:val="0050420C"/>
    <w:rsid w:val="00504A4B"/>
    <w:rsid w:val="00504AE6"/>
    <w:rsid w:val="005054F8"/>
    <w:rsid w:val="005079F8"/>
    <w:rsid w:val="0051059D"/>
    <w:rsid w:val="00510F9A"/>
    <w:rsid w:val="00511937"/>
    <w:rsid w:val="005124D2"/>
    <w:rsid w:val="00512923"/>
    <w:rsid w:val="00512F3D"/>
    <w:rsid w:val="00513059"/>
    <w:rsid w:val="005130F5"/>
    <w:rsid w:val="00513CB2"/>
    <w:rsid w:val="00514730"/>
    <w:rsid w:val="00516DBC"/>
    <w:rsid w:val="00517500"/>
    <w:rsid w:val="005177B1"/>
    <w:rsid w:val="0052115A"/>
    <w:rsid w:val="00521CEE"/>
    <w:rsid w:val="0052274C"/>
    <w:rsid w:val="00522B6C"/>
    <w:rsid w:val="0052465A"/>
    <w:rsid w:val="00524E6B"/>
    <w:rsid w:val="00525B31"/>
    <w:rsid w:val="00525D00"/>
    <w:rsid w:val="00525E55"/>
    <w:rsid w:val="00526230"/>
    <w:rsid w:val="0052691C"/>
    <w:rsid w:val="005277C9"/>
    <w:rsid w:val="00530ADF"/>
    <w:rsid w:val="005316CB"/>
    <w:rsid w:val="00532499"/>
    <w:rsid w:val="005330CE"/>
    <w:rsid w:val="0053350D"/>
    <w:rsid w:val="00534EB2"/>
    <w:rsid w:val="0053502B"/>
    <w:rsid w:val="0053533D"/>
    <w:rsid w:val="00536821"/>
    <w:rsid w:val="00536ACE"/>
    <w:rsid w:val="00536D6C"/>
    <w:rsid w:val="00540A22"/>
    <w:rsid w:val="00541743"/>
    <w:rsid w:val="0054205D"/>
    <w:rsid w:val="0054317D"/>
    <w:rsid w:val="00543AF2"/>
    <w:rsid w:val="00543C6A"/>
    <w:rsid w:val="00543FC8"/>
    <w:rsid w:val="00544805"/>
    <w:rsid w:val="00544E96"/>
    <w:rsid w:val="0054515D"/>
    <w:rsid w:val="00545162"/>
    <w:rsid w:val="00551303"/>
    <w:rsid w:val="0055198E"/>
    <w:rsid w:val="00552A77"/>
    <w:rsid w:val="00552AF4"/>
    <w:rsid w:val="005532F6"/>
    <w:rsid w:val="00553B7E"/>
    <w:rsid w:val="00553EB7"/>
    <w:rsid w:val="005540F9"/>
    <w:rsid w:val="005547F8"/>
    <w:rsid w:val="00555D50"/>
    <w:rsid w:val="005576F4"/>
    <w:rsid w:val="005579F8"/>
    <w:rsid w:val="005613E2"/>
    <w:rsid w:val="00562018"/>
    <w:rsid w:val="005629B5"/>
    <w:rsid w:val="005637A5"/>
    <w:rsid w:val="00564555"/>
    <w:rsid w:val="005646C7"/>
    <w:rsid w:val="005657EB"/>
    <w:rsid w:val="005661E0"/>
    <w:rsid w:val="00566C51"/>
    <w:rsid w:val="00566EB3"/>
    <w:rsid w:val="005670EC"/>
    <w:rsid w:val="0056732C"/>
    <w:rsid w:val="005700FC"/>
    <w:rsid w:val="005706A5"/>
    <w:rsid w:val="005715EA"/>
    <w:rsid w:val="00572F56"/>
    <w:rsid w:val="005730AA"/>
    <w:rsid w:val="00573EA3"/>
    <w:rsid w:val="0057432B"/>
    <w:rsid w:val="005748B2"/>
    <w:rsid w:val="00574D13"/>
    <w:rsid w:val="00574F8D"/>
    <w:rsid w:val="005752EF"/>
    <w:rsid w:val="00575A85"/>
    <w:rsid w:val="00576DFD"/>
    <w:rsid w:val="00576E31"/>
    <w:rsid w:val="00577675"/>
    <w:rsid w:val="00580404"/>
    <w:rsid w:val="00580659"/>
    <w:rsid w:val="005822ED"/>
    <w:rsid w:val="00582C1F"/>
    <w:rsid w:val="00582CF6"/>
    <w:rsid w:val="00582F01"/>
    <w:rsid w:val="005834C1"/>
    <w:rsid w:val="00584261"/>
    <w:rsid w:val="00584A7E"/>
    <w:rsid w:val="00584D9A"/>
    <w:rsid w:val="005861AF"/>
    <w:rsid w:val="0058659B"/>
    <w:rsid w:val="00586691"/>
    <w:rsid w:val="00586F0F"/>
    <w:rsid w:val="00587CBE"/>
    <w:rsid w:val="00587D92"/>
    <w:rsid w:val="00590415"/>
    <w:rsid w:val="00594549"/>
    <w:rsid w:val="005945A6"/>
    <w:rsid w:val="00594DC9"/>
    <w:rsid w:val="00594F32"/>
    <w:rsid w:val="00596412"/>
    <w:rsid w:val="00596812"/>
    <w:rsid w:val="0059708A"/>
    <w:rsid w:val="005970E1"/>
    <w:rsid w:val="005971AB"/>
    <w:rsid w:val="005978FE"/>
    <w:rsid w:val="005A0055"/>
    <w:rsid w:val="005A01A1"/>
    <w:rsid w:val="005A0626"/>
    <w:rsid w:val="005A0BE1"/>
    <w:rsid w:val="005A0E97"/>
    <w:rsid w:val="005A1BAA"/>
    <w:rsid w:val="005A1DBB"/>
    <w:rsid w:val="005A1F5F"/>
    <w:rsid w:val="005A25AC"/>
    <w:rsid w:val="005A3622"/>
    <w:rsid w:val="005A48E4"/>
    <w:rsid w:val="005A553E"/>
    <w:rsid w:val="005A574D"/>
    <w:rsid w:val="005A5879"/>
    <w:rsid w:val="005A6633"/>
    <w:rsid w:val="005A7CBC"/>
    <w:rsid w:val="005B0CD6"/>
    <w:rsid w:val="005B2438"/>
    <w:rsid w:val="005B24CA"/>
    <w:rsid w:val="005B333B"/>
    <w:rsid w:val="005B3433"/>
    <w:rsid w:val="005B394F"/>
    <w:rsid w:val="005B4119"/>
    <w:rsid w:val="005B7C4F"/>
    <w:rsid w:val="005C0151"/>
    <w:rsid w:val="005C0DBA"/>
    <w:rsid w:val="005C1C12"/>
    <w:rsid w:val="005C2C58"/>
    <w:rsid w:val="005C30FB"/>
    <w:rsid w:val="005C3181"/>
    <w:rsid w:val="005C3556"/>
    <w:rsid w:val="005C3D60"/>
    <w:rsid w:val="005C4189"/>
    <w:rsid w:val="005C47BF"/>
    <w:rsid w:val="005C669B"/>
    <w:rsid w:val="005D05D2"/>
    <w:rsid w:val="005D12E5"/>
    <w:rsid w:val="005D1E65"/>
    <w:rsid w:val="005D2BAD"/>
    <w:rsid w:val="005D45C2"/>
    <w:rsid w:val="005D4E52"/>
    <w:rsid w:val="005D4F93"/>
    <w:rsid w:val="005D56D5"/>
    <w:rsid w:val="005D6622"/>
    <w:rsid w:val="005D670C"/>
    <w:rsid w:val="005D70D7"/>
    <w:rsid w:val="005D7598"/>
    <w:rsid w:val="005D77FB"/>
    <w:rsid w:val="005D7CCE"/>
    <w:rsid w:val="005D7DF3"/>
    <w:rsid w:val="005E01B1"/>
    <w:rsid w:val="005E02C4"/>
    <w:rsid w:val="005E053D"/>
    <w:rsid w:val="005E312F"/>
    <w:rsid w:val="005E318E"/>
    <w:rsid w:val="005E573A"/>
    <w:rsid w:val="005E63D8"/>
    <w:rsid w:val="005E6793"/>
    <w:rsid w:val="005E6A86"/>
    <w:rsid w:val="005E6CA1"/>
    <w:rsid w:val="005E726E"/>
    <w:rsid w:val="005E77E0"/>
    <w:rsid w:val="005E7862"/>
    <w:rsid w:val="005F0BC7"/>
    <w:rsid w:val="005F0BD4"/>
    <w:rsid w:val="005F0BEE"/>
    <w:rsid w:val="005F1B58"/>
    <w:rsid w:val="005F1EF0"/>
    <w:rsid w:val="005F263E"/>
    <w:rsid w:val="005F3DEF"/>
    <w:rsid w:val="005F4373"/>
    <w:rsid w:val="005F4D76"/>
    <w:rsid w:val="005F64BF"/>
    <w:rsid w:val="005F71DB"/>
    <w:rsid w:val="005F7624"/>
    <w:rsid w:val="005F7A04"/>
    <w:rsid w:val="005F7C97"/>
    <w:rsid w:val="005F7EF5"/>
    <w:rsid w:val="00600DCD"/>
    <w:rsid w:val="006023BC"/>
    <w:rsid w:val="00602544"/>
    <w:rsid w:val="006027C8"/>
    <w:rsid w:val="006030C8"/>
    <w:rsid w:val="006036B9"/>
    <w:rsid w:val="00604A51"/>
    <w:rsid w:val="00604C9A"/>
    <w:rsid w:val="00605019"/>
    <w:rsid w:val="00605023"/>
    <w:rsid w:val="0060749B"/>
    <w:rsid w:val="006102B6"/>
    <w:rsid w:val="00610BC9"/>
    <w:rsid w:val="006115F9"/>
    <w:rsid w:val="00611D23"/>
    <w:rsid w:val="00611F01"/>
    <w:rsid w:val="00612E09"/>
    <w:rsid w:val="006136C1"/>
    <w:rsid w:val="00613A4A"/>
    <w:rsid w:val="0061522E"/>
    <w:rsid w:val="00615783"/>
    <w:rsid w:val="00615EA8"/>
    <w:rsid w:val="00615F61"/>
    <w:rsid w:val="006164B1"/>
    <w:rsid w:val="00617BFA"/>
    <w:rsid w:val="006207F5"/>
    <w:rsid w:val="00620E26"/>
    <w:rsid w:val="006218B5"/>
    <w:rsid w:val="00623382"/>
    <w:rsid w:val="00623908"/>
    <w:rsid w:val="00626358"/>
    <w:rsid w:val="00626788"/>
    <w:rsid w:val="00627623"/>
    <w:rsid w:val="00627E37"/>
    <w:rsid w:val="00631EA3"/>
    <w:rsid w:val="0063242B"/>
    <w:rsid w:val="0063306F"/>
    <w:rsid w:val="006341DB"/>
    <w:rsid w:val="00634450"/>
    <w:rsid w:val="006357EF"/>
    <w:rsid w:val="0063608E"/>
    <w:rsid w:val="0063639E"/>
    <w:rsid w:val="00640798"/>
    <w:rsid w:val="006411C6"/>
    <w:rsid w:val="0064206F"/>
    <w:rsid w:val="0064226A"/>
    <w:rsid w:val="00643464"/>
    <w:rsid w:val="00643647"/>
    <w:rsid w:val="00643BC3"/>
    <w:rsid w:val="00644151"/>
    <w:rsid w:val="00644DAB"/>
    <w:rsid w:val="00645DB7"/>
    <w:rsid w:val="00645E45"/>
    <w:rsid w:val="006463E8"/>
    <w:rsid w:val="006475EE"/>
    <w:rsid w:val="00647C24"/>
    <w:rsid w:val="00650212"/>
    <w:rsid w:val="00650771"/>
    <w:rsid w:val="00652690"/>
    <w:rsid w:val="00652CBB"/>
    <w:rsid w:val="006533BA"/>
    <w:rsid w:val="006554C0"/>
    <w:rsid w:val="006562D7"/>
    <w:rsid w:val="0065686A"/>
    <w:rsid w:val="00656FF4"/>
    <w:rsid w:val="00657E17"/>
    <w:rsid w:val="00660027"/>
    <w:rsid w:val="00660C74"/>
    <w:rsid w:val="00660F17"/>
    <w:rsid w:val="00661450"/>
    <w:rsid w:val="0066181E"/>
    <w:rsid w:val="00661968"/>
    <w:rsid w:val="00662499"/>
    <w:rsid w:val="00662B08"/>
    <w:rsid w:val="00662FBC"/>
    <w:rsid w:val="00663EBC"/>
    <w:rsid w:val="006659AF"/>
    <w:rsid w:val="00665A59"/>
    <w:rsid w:val="00666038"/>
    <w:rsid w:val="006669AA"/>
    <w:rsid w:val="00667F46"/>
    <w:rsid w:val="00672055"/>
    <w:rsid w:val="00673DDD"/>
    <w:rsid w:val="00673F6C"/>
    <w:rsid w:val="006744C8"/>
    <w:rsid w:val="00674784"/>
    <w:rsid w:val="006749F9"/>
    <w:rsid w:val="00674B2D"/>
    <w:rsid w:val="00674DEE"/>
    <w:rsid w:val="00674EBF"/>
    <w:rsid w:val="00675365"/>
    <w:rsid w:val="00675E66"/>
    <w:rsid w:val="00677862"/>
    <w:rsid w:val="00677AB5"/>
    <w:rsid w:val="00680114"/>
    <w:rsid w:val="00681DE3"/>
    <w:rsid w:val="00682410"/>
    <w:rsid w:val="00683709"/>
    <w:rsid w:val="006837D5"/>
    <w:rsid w:val="0068474E"/>
    <w:rsid w:val="006848D6"/>
    <w:rsid w:val="00684994"/>
    <w:rsid w:val="006849C4"/>
    <w:rsid w:val="006857A1"/>
    <w:rsid w:val="006857E0"/>
    <w:rsid w:val="006869BB"/>
    <w:rsid w:val="00687C7E"/>
    <w:rsid w:val="0069015D"/>
    <w:rsid w:val="00691D1F"/>
    <w:rsid w:val="00691D6D"/>
    <w:rsid w:val="00692C93"/>
    <w:rsid w:val="00692F05"/>
    <w:rsid w:val="0069339C"/>
    <w:rsid w:val="0069442F"/>
    <w:rsid w:val="00696016"/>
    <w:rsid w:val="00696173"/>
    <w:rsid w:val="00696808"/>
    <w:rsid w:val="00696C05"/>
    <w:rsid w:val="00696DE9"/>
    <w:rsid w:val="006A00C3"/>
    <w:rsid w:val="006A058C"/>
    <w:rsid w:val="006A1870"/>
    <w:rsid w:val="006A2823"/>
    <w:rsid w:val="006A299B"/>
    <w:rsid w:val="006A29C3"/>
    <w:rsid w:val="006A3E31"/>
    <w:rsid w:val="006A453D"/>
    <w:rsid w:val="006A6003"/>
    <w:rsid w:val="006A6165"/>
    <w:rsid w:val="006A74AB"/>
    <w:rsid w:val="006A7AF8"/>
    <w:rsid w:val="006B0B63"/>
    <w:rsid w:val="006B10CE"/>
    <w:rsid w:val="006B1AA7"/>
    <w:rsid w:val="006B26CD"/>
    <w:rsid w:val="006B3934"/>
    <w:rsid w:val="006B4568"/>
    <w:rsid w:val="006B50B2"/>
    <w:rsid w:val="006B5248"/>
    <w:rsid w:val="006B57FF"/>
    <w:rsid w:val="006B64A9"/>
    <w:rsid w:val="006B6769"/>
    <w:rsid w:val="006B6CEA"/>
    <w:rsid w:val="006B7169"/>
    <w:rsid w:val="006B7AA6"/>
    <w:rsid w:val="006B7C89"/>
    <w:rsid w:val="006C158D"/>
    <w:rsid w:val="006C19A7"/>
    <w:rsid w:val="006C202B"/>
    <w:rsid w:val="006C3C7B"/>
    <w:rsid w:val="006C5886"/>
    <w:rsid w:val="006C5BFE"/>
    <w:rsid w:val="006D13B8"/>
    <w:rsid w:val="006D2AFD"/>
    <w:rsid w:val="006D3ECF"/>
    <w:rsid w:val="006D584F"/>
    <w:rsid w:val="006D6F85"/>
    <w:rsid w:val="006D75AD"/>
    <w:rsid w:val="006D7FCE"/>
    <w:rsid w:val="006E0019"/>
    <w:rsid w:val="006E0068"/>
    <w:rsid w:val="006E1209"/>
    <w:rsid w:val="006E129B"/>
    <w:rsid w:val="006E14E6"/>
    <w:rsid w:val="006E1B2D"/>
    <w:rsid w:val="006E1B3B"/>
    <w:rsid w:val="006E1CE9"/>
    <w:rsid w:val="006E2897"/>
    <w:rsid w:val="006E37B9"/>
    <w:rsid w:val="006E41D4"/>
    <w:rsid w:val="006E45E0"/>
    <w:rsid w:val="006E4A3B"/>
    <w:rsid w:val="006E4F45"/>
    <w:rsid w:val="006E523E"/>
    <w:rsid w:val="006E5706"/>
    <w:rsid w:val="006E5DC0"/>
    <w:rsid w:val="006E616F"/>
    <w:rsid w:val="006E6836"/>
    <w:rsid w:val="006E69D5"/>
    <w:rsid w:val="006E6A27"/>
    <w:rsid w:val="006E6AAA"/>
    <w:rsid w:val="006E7310"/>
    <w:rsid w:val="006E7A40"/>
    <w:rsid w:val="006E7EDF"/>
    <w:rsid w:val="006F1030"/>
    <w:rsid w:val="006F10F3"/>
    <w:rsid w:val="006F13B2"/>
    <w:rsid w:val="006F162F"/>
    <w:rsid w:val="006F24F6"/>
    <w:rsid w:val="006F3195"/>
    <w:rsid w:val="006F3D43"/>
    <w:rsid w:val="006F4A9E"/>
    <w:rsid w:val="006F5748"/>
    <w:rsid w:val="006F5C93"/>
    <w:rsid w:val="006F5EBB"/>
    <w:rsid w:val="006F6754"/>
    <w:rsid w:val="006F686A"/>
    <w:rsid w:val="006F6C5C"/>
    <w:rsid w:val="006F7057"/>
    <w:rsid w:val="006F7583"/>
    <w:rsid w:val="006F764A"/>
    <w:rsid w:val="006F7771"/>
    <w:rsid w:val="006F77B2"/>
    <w:rsid w:val="006F79D3"/>
    <w:rsid w:val="0070030F"/>
    <w:rsid w:val="00700B06"/>
    <w:rsid w:val="007015C4"/>
    <w:rsid w:val="00701CCE"/>
    <w:rsid w:val="00701F9E"/>
    <w:rsid w:val="00702404"/>
    <w:rsid w:val="00702DA9"/>
    <w:rsid w:val="00703B59"/>
    <w:rsid w:val="00703FD1"/>
    <w:rsid w:val="00705423"/>
    <w:rsid w:val="00706DC4"/>
    <w:rsid w:val="00710917"/>
    <w:rsid w:val="00711B92"/>
    <w:rsid w:val="00713599"/>
    <w:rsid w:val="007148B9"/>
    <w:rsid w:val="00714A69"/>
    <w:rsid w:val="007155BC"/>
    <w:rsid w:val="00715B70"/>
    <w:rsid w:val="007162B4"/>
    <w:rsid w:val="00716435"/>
    <w:rsid w:val="007164AD"/>
    <w:rsid w:val="00717CA8"/>
    <w:rsid w:val="007203D9"/>
    <w:rsid w:val="00721084"/>
    <w:rsid w:val="00721629"/>
    <w:rsid w:val="00721EDD"/>
    <w:rsid w:val="00722B58"/>
    <w:rsid w:val="00722D37"/>
    <w:rsid w:val="0072340B"/>
    <w:rsid w:val="00723C18"/>
    <w:rsid w:val="00724442"/>
    <w:rsid w:val="00725159"/>
    <w:rsid w:val="0072516F"/>
    <w:rsid w:val="007257AB"/>
    <w:rsid w:val="0072640D"/>
    <w:rsid w:val="007276B1"/>
    <w:rsid w:val="007279D7"/>
    <w:rsid w:val="00727F4E"/>
    <w:rsid w:val="00730F99"/>
    <w:rsid w:val="00730FBD"/>
    <w:rsid w:val="00731E13"/>
    <w:rsid w:val="00731F1B"/>
    <w:rsid w:val="0073208F"/>
    <w:rsid w:val="007320DA"/>
    <w:rsid w:val="0073295D"/>
    <w:rsid w:val="00732CDB"/>
    <w:rsid w:val="0073380C"/>
    <w:rsid w:val="0073386B"/>
    <w:rsid w:val="00733AB5"/>
    <w:rsid w:val="00733AC7"/>
    <w:rsid w:val="00734FAB"/>
    <w:rsid w:val="0073568A"/>
    <w:rsid w:val="00736075"/>
    <w:rsid w:val="0073646B"/>
    <w:rsid w:val="007366D9"/>
    <w:rsid w:val="00736A93"/>
    <w:rsid w:val="00737FC9"/>
    <w:rsid w:val="0074014C"/>
    <w:rsid w:val="00740E88"/>
    <w:rsid w:val="00741AB8"/>
    <w:rsid w:val="007422D4"/>
    <w:rsid w:val="0074234E"/>
    <w:rsid w:val="00742821"/>
    <w:rsid w:val="0074290F"/>
    <w:rsid w:val="00743A57"/>
    <w:rsid w:val="00744450"/>
    <w:rsid w:val="00744F43"/>
    <w:rsid w:val="00744F6B"/>
    <w:rsid w:val="007455BC"/>
    <w:rsid w:val="00746B4F"/>
    <w:rsid w:val="00746E4C"/>
    <w:rsid w:val="0075014F"/>
    <w:rsid w:val="00750662"/>
    <w:rsid w:val="00750A79"/>
    <w:rsid w:val="0075116A"/>
    <w:rsid w:val="00751583"/>
    <w:rsid w:val="00752915"/>
    <w:rsid w:val="00752A08"/>
    <w:rsid w:val="00752BD0"/>
    <w:rsid w:val="00752C3A"/>
    <w:rsid w:val="0075404C"/>
    <w:rsid w:val="00754167"/>
    <w:rsid w:val="007546FF"/>
    <w:rsid w:val="00754957"/>
    <w:rsid w:val="00755D79"/>
    <w:rsid w:val="00756473"/>
    <w:rsid w:val="00756708"/>
    <w:rsid w:val="007579BA"/>
    <w:rsid w:val="00757AF4"/>
    <w:rsid w:val="0076000B"/>
    <w:rsid w:val="00760701"/>
    <w:rsid w:val="007609FD"/>
    <w:rsid w:val="00760D22"/>
    <w:rsid w:val="00761BC3"/>
    <w:rsid w:val="00761F25"/>
    <w:rsid w:val="00762AE8"/>
    <w:rsid w:val="0076456C"/>
    <w:rsid w:val="00765123"/>
    <w:rsid w:val="00766CCF"/>
    <w:rsid w:val="007676AA"/>
    <w:rsid w:val="00771777"/>
    <w:rsid w:val="00771923"/>
    <w:rsid w:val="007727F9"/>
    <w:rsid w:val="00772C9E"/>
    <w:rsid w:val="0077317A"/>
    <w:rsid w:val="0077429A"/>
    <w:rsid w:val="007745AE"/>
    <w:rsid w:val="00774678"/>
    <w:rsid w:val="007748F1"/>
    <w:rsid w:val="00774E7A"/>
    <w:rsid w:val="0077575F"/>
    <w:rsid w:val="00775EA9"/>
    <w:rsid w:val="00776672"/>
    <w:rsid w:val="00776A84"/>
    <w:rsid w:val="00776C80"/>
    <w:rsid w:val="00776D7C"/>
    <w:rsid w:val="00777211"/>
    <w:rsid w:val="007777C5"/>
    <w:rsid w:val="00777A43"/>
    <w:rsid w:val="00780013"/>
    <w:rsid w:val="00781155"/>
    <w:rsid w:val="00782CD6"/>
    <w:rsid w:val="0078336D"/>
    <w:rsid w:val="007837D2"/>
    <w:rsid w:val="00783C34"/>
    <w:rsid w:val="007851CC"/>
    <w:rsid w:val="0078544C"/>
    <w:rsid w:val="0078545E"/>
    <w:rsid w:val="00786DE4"/>
    <w:rsid w:val="00787319"/>
    <w:rsid w:val="0078742D"/>
    <w:rsid w:val="00787AFA"/>
    <w:rsid w:val="00790035"/>
    <w:rsid w:val="007915E8"/>
    <w:rsid w:val="0079279B"/>
    <w:rsid w:val="00792F68"/>
    <w:rsid w:val="0079400A"/>
    <w:rsid w:val="00795768"/>
    <w:rsid w:val="00795905"/>
    <w:rsid w:val="007959E9"/>
    <w:rsid w:val="00797BC5"/>
    <w:rsid w:val="007A02D2"/>
    <w:rsid w:val="007A22F2"/>
    <w:rsid w:val="007A3467"/>
    <w:rsid w:val="007A393D"/>
    <w:rsid w:val="007A3C56"/>
    <w:rsid w:val="007A3CBE"/>
    <w:rsid w:val="007A562B"/>
    <w:rsid w:val="007A6C4E"/>
    <w:rsid w:val="007A7003"/>
    <w:rsid w:val="007A7AEA"/>
    <w:rsid w:val="007A7B56"/>
    <w:rsid w:val="007B2797"/>
    <w:rsid w:val="007B286E"/>
    <w:rsid w:val="007B28B3"/>
    <w:rsid w:val="007B3042"/>
    <w:rsid w:val="007B3996"/>
    <w:rsid w:val="007B5155"/>
    <w:rsid w:val="007B56A5"/>
    <w:rsid w:val="007B63D5"/>
    <w:rsid w:val="007B6870"/>
    <w:rsid w:val="007B70DC"/>
    <w:rsid w:val="007C0793"/>
    <w:rsid w:val="007C0DB9"/>
    <w:rsid w:val="007C1BCB"/>
    <w:rsid w:val="007C24C8"/>
    <w:rsid w:val="007C2910"/>
    <w:rsid w:val="007C2F7D"/>
    <w:rsid w:val="007C42FF"/>
    <w:rsid w:val="007C5ED4"/>
    <w:rsid w:val="007C651F"/>
    <w:rsid w:val="007C7259"/>
    <w:rsid w:val="007C76BC"/>
    <w:rsid w:val="007C7A56"/>
    <w:rsid w:val="007C7CC6"/>
    <w:rsid w:val="007C7DE1"/>
    <w:rsid w:val="007D044B"/>
    <w:rsid w:val="007D099D"/>
    <w:rsid w:val="007D1D55"/>
    <w:rsid w:val="007D1EB9"/>
    <w:rsid w:val="007D28C2"/>
    <w:rsid w:val="007D3BE5"/>
    <w:rsid w:val="007D468A"/>
    <w:rsid w:val="007D496A"/>
    <w:rsid w:val="007D5F95"/>
    <w:rsid w:val="007D7024"/>
    <w:rsid w:val="007D7967"/>
    <w:rsid w:val="007E1558"/>
    <w:rsid w:val="007E1DE7"/>
    <w:rsid w:val="007E24B5"/>
    <w:rsid w:val="007E336B"/>
    <w:rsid w:val="007E3600"/>
    <w:rsid w:val="007E3CF3"/>
    <w:rsid w:val="007E4223"/>
    <w:rsid w:val="007E4465"/>
    <w:rsid w:val="007E4B5B"/>
    <w:rsid w:val="007E573A"/>
    <w:rsid w:val="007E5B02"/>
    <w:rsid w:val="007E5D3D"/>
    <w:rsid w:val="007E652F"/>
    <w:rsid w:val="007E7960"/>
    <w:rsid w:val="007F0659"/>
    <w:rsid w:val="007F1BBE"/>
    <w:rsid w:val="007F1CEA"/>
    <w:rsid w:val="007F202D"/>
    <w:rsid w:val="007F23A0"/>
    <w:rsid w:val="007F3BAA"/>
    <w:rsid w:val="007F5A05"/>
    <w:rsid w:val="007F623B"/>
    <w:rsid w:val="007F6981"/>
    <w:rsid w:val="007F7FB8"/>
    <w:rsid w:val="008001D0"/>
    <w:rsid w:val="00800744"/>
    <w:rsid w:val="00800C91"/>
    <w:rsid w:val="00804683"/>
    <w:rsid w:val="00805432"/>
    <w:rsid w:val="00805727"/>
    <w:rsid w:val="0080712B"/>
    <w:rsid w:val="00807E7E"/>
    <w:rsid w:val="00807EF2"/>
    <w:rsid w:val="00807FE8"/>
    <w:rsid w:val="0081141D"/>
    <w:rsid w:val="0081306F"/>
    <w:rsid w:val="00813156"/>
    <w:rsid w:val="0081374B"/>
    <w:rsid w:val="00813A1B"/>
    <w:rsid w:val="00813B4B"/>
    <w:rsid w:val="0081412A"/>
    <w:rsid w:val="00814CA0"/>
    <w:rsid w:val="008157B8"/>
    <w:rsid w:val="00815B7E"/>
    <w:rsid w:val="00816EFF"/>
    <w:rsid w:val="00817DB2"/>
    <w:rsid w:val="00817DB4"/>
    <w:rsid w:val="0082099C"/>
    <w:rsid w:val="00825311"/>
    <w:rsid w:val="00825745"/>
    <w:rsid w:val="00825C87"/>
    <w:rsid w:val="008263D9"/>
    <w:rsid w:val="00826657"/>
    <w:rsid w:val="0083136B"/>
    <w:rsid w:val="00831C4F"/>
    <w:rsid w:val="0083224E"/>
    <w:rsid w:val="00835CD3"/>
    <w:rsid w:val="008369E9"/>
    <w:rsid w:val="008371AA"/>
    <w:rsid w:val="008371FE"/>
    <w:rsid w:val="0083751F"/>
    <w:rsid w:val="008402B5"/>
    <w:rsid w:val="00840596"/>
    <w:rsid w:val="00840725"/>
    <w:rsid w:val="0084188C"/>
    <w:rsid w:val="00841C50"/>
    <w:rsid w:val="008424C8"/>
    <w:rsid w:val="008434B0"/>
    <w:rsid w:val="0084384A"/>
    <w:rsid w:val="0084441B"/>
    <w:rsid w:val="00844F9E"/>
    <w:rsid w:val="008457E4"/>
    <w:rsid w:val="008459FE"/>
    <w:rsid w:val="00845B19"/>
    <w:rsid w:val="00845CFB"/>
    <w:rsid w:val="008474EE"/>
    <w:rsid w:val="00847A8A"/>
    <w:rsid w:val="00851E61"/>
    <w:rsid w:val="00852ED1"/>
    <w:rsid w:val="008531FF"/>
    <w:rsid w:val="008538D0"/>
    <w:rsid w:val="008549ED"/>
    <w:rsid w:val="00854A0C"/>
    <w:rsid w:val="00856424"/>
    <w:rsid w:val="00856442"/>
    <w:rsid w:val="008573AF"/>
    <w:rsid w:val="008578B3"/>
    <w:rsid w:val="00857C26"/>
    <w:rsid w:val="008601D4"/>
    <w:rsid w:val="00861449"/>
    <w:rsid w:val="0086149C"/>
    <w:rsid w:val="00861E1C"/>
    <w:rsid w:val="0086323E"/>
    <w:rsid w:val="0086357E"/>
    <w:rsid w:val="0086420C"/>
    <w:rsid w:val="008656D2"/>
    <w:rsid w:val="00867804"/>
    <w:rsid w:val="00867D0D"/>
    <w:rsid w:val="008704BE"/>
    <w:rsid w:val="00871C88"/>
    <w:rsid w:val="00872DD8"/>
    <w:rsid w:val="00873CE8"/>
    <w:rsid w:val="00874052"/>
    <w:rsid w:val="00874884"/>
    <w:rsid w:val="00874D5C"/>
    <w:rsid w:val="00875604"/>
    <w:rsid w:val="008766DF"/>
    <w:rsid w:val="008767AA"/>
    <w:rsid w:val="00877245"/>
    <w:rsid w:val="0087729A"/>
    <w:rsid w:val="0087741B"/>
    <w:rsid w:val="00880C75"/>
    <w:rsid w:val="0088139C"/>
    <w:rsid w:val="008815F0"/>
    <w:rsid w:val="00881C38"/>
    <w:rsid w:val="0088251B"/>
    <w:rsid w:val="00882769"/>
    <w:rsid w:val="00882F42"/>
    <w:rsid w:val="008837A4"/>
    <w:rsid w:val="00884A3B"/>
    <w:rsid w:val="008859AE"/>
    <w:rsid w:val="00885FC3"/>
    <w:rsid w:val="00886869"/>
    <w:rsid w:val="00886D51"/>
    <w:rsid w:val="00887F29"/>
    <w:rsid w:val="00890C3B"/>
    <w:rsid w:val="00891D6A"/>
    <w:rsid w:val="0089211C"/>
    <w:rsid w:val="00892910"/>
    <w:rsid w:val="0089459D"/>
    <w:rsid w:val="008946B7"/>
    <w:rsid w:val="00894C57"/>
    <w:rsid w:val="00894C89"/>
    <w:rsid w:val="0089560D"/>
    <w:rsid w:val="00895BEA"/>
    <w:rsid w:val="00897426"/>
    <w:rsid w:val="008975F4"/>
    <w:rsid w:val="008A087C"/>
    <w:rsid w:val="008A0AA2"/>
    <w:rsid w:val="008A0D8A"/>
    <w:rsid w:val="008A1C6E"/>
    <w:rsid w:val="008A311F"/>
    <w:rsid w:val="008A3775"/>
    <w:rsid w:val="008A413C"/>
    <w:rsid w:val="008A47AA"/>
    <w:rsid w:val="008A4A8F"/>
    <w:rsid w:val="008A53B1"/>
    <w:rsid w:val="008A5F29"/>
    <w:rsid w:val="008A6434"/>
    <w:rsid w:val="008A690A"/>
    <w:rsid w:val="008B0118"/>
    <w:rsid w:val="008B0366"/>
    <w:rsid w:val="008B0F33"/>
    <w:rsid w:val="008B154E"/>
    <w:rsid w:val="008B2330"/>
    <w:rsid w:val="008B2CE3"/>
    <w:rsid w:val="008B4EE3"/>
    <w:rsid w:val="008B510B"/>
    <w:rsid w:val="008B56B6"/>
    <w:rsid w:val="008B5DD7"/>
    <w:rsid w:val="008B66D7"/>
    <w:rsid w:val="008B7311"/>
    <w:rsid w:val="008B7668"/>
    <w:rsid w:val="008B785E"/>
    <w:rsid w:val="008B7F3F"/>
    <w:rsid w:val="008C0396"/>
    <w:rsid w:val="008C1928"/>
    <w:rsid w:val="008C335B"/>
    <w:rsid w:val="008C5A47"/>
    <w:rsid w:val="008C6BD1"/>
    <w:rsid w:val="008C7826"/>
    <w:rsid w:val="008D0684"/>
    <w:rsid w:val="008D0A5A"/>
    <w:rsid w:val="008D1B21"/>
    <w:rsid w:val="008D3528"/>
    <w:rsid w:val="008D3EC1"/>
    <w:rsid w:val="008D5A77"/>
    <w:rsid w:val="008D5B45"/>
    <w:rsid w:val="008D6800"/>
    <w:rsid w:val="008D7282"/>
    <w:rsid w:val="008E2BF2"/>
    <w:rsid w:val="008E2FC9"/>
    <w:rsid w:val="008E371D"/>
    <w:rsid w:val="008E71A9"/>
    <w:rsid w:val="008E738E"/>
    <w:rsid w:val="008E7884"/>
    <w:rsid w:val="008E7F33"/>
    <w:rsid w:val="008F04D0"/>
    <w:rsid w:val="008F0521"/>
    <w:rsid w:val="008F30A9"/>
    <w:rsid w:val="008F341C"/>
    <w:rsid w:val="008F398E"/>
    <w:rsid w:val="008F471B"/>
    <w:rsid w:val="008F47C3"/>
    <w:rsid w:val="008F4DD9"/>
    <w:rsid w:val="008F4E9E"/>
    <w:rsid w:val="008F5158"/>
    <w:rsid w:val="008F5B2F"/>
    <w:rsid w:val="008F6406"/>
    <w:rsid w:val="0090004C"/>
    <w:rsid w:val="009003A0"/>
    <w:rsid w:val="00900956"/>
    <w:rsid w:val="009009EE"/>
    <w:rsid w:val="00901295"/>
    <w:rsid w:val="009016FE"/>
    <w:rsid w:val="0090276C"/>
    <w:rsid w:val="00902A80"/>
    <w:rsid w:val="00903367"/>
    <w:rsid w:val="00903555"/>
    <w:rsid w:val="00903655"/>
    <w:rsid w:val="00903925"/>
    <w:rsid w:val="009046E0"/>
    <w:rsid w:val="0090474C"/>
    <w:rsid w:val="00904831"/>
    <w:rsid w:val="00904835"/>
    <w:rsid w:val="00904AA9"/>
    <w:rsid w:val="00905656"/>
    <w:rsid w:val="009059CC"/>
    <w:rsid w:val="009073AF"/>
    <w:rsid w:val="0091126C"/>
    <w:rsid w:val="0091157E"/>
    <w:rsid w:val="00911D63"/>
    <w:rsid w:val="0091425C"/>
    <w:rsid w:val="00914E03"/>
    <w:rsid w:val="0091515A"/>
    <w:rsid w:val="0091574C"/>
    <w:rsid w:val="00915FA6"/>
    <w:rsid w:val="009168C8"/>
    <w:rsid w:val="00916996"/>
    <w:rsid w:val="00921A83"/>
    <w:rsid w:val="0092228B"/>
    <w:rsid w:val="009226DE"/>
    <w:rsid w:val="009235B3"/>
    <w:rsid w:val="00924835"/>
    <w:rsid w:val="00924B34"/>
    <w:rsid w:val="00925004"/>
    <w:rsid w:val="00925164"/>
    <w:rsid w:val="009261D0"/>
    <w:rsid w:val="0092658C"/>
    <w:rsid w:val="00926697"/>
    <w:rsid w:val="009268C3"/>
    <w:rsid w:val="009274D8"/>
    <w:rsid w:val="009305A2"/>
    <w:rsid w:val="00930811"/>
    <w:rsid w:val="009318C4"/>
    <w:rsid w:val="00931E95"/>
    <w:rsid w:val="0093272A"/>
    <w:rsid w:val="0093451C"/>
    <w:rsid w:val="009357BF"/>
    <w:rsid w:val="00936287"/>
    <w:rsid w:val="00936D83"/>
    <w:rsid w:val="00936D97"/>
    <w:rsid w:val="0093796E"/>
    <w:rsid w:val="00940FED"/>
    <w:rsid w:val="0094144E"/>
    <w:rsid w:val="0094196B"/>
    <w:rsid w:val="00941D95"/>
    <w:rsid w:val="009424E2"/>
    <w:rsid w:val="00942C50"/>
    <w:rsid w:val="009430FA"/>
    <w:rsid w:val="00943CCD"/>
    <w:rsid w:val="00945D2B"/>
    <w:rsid w:val="00945DE9"/>
    <w:rsid w:val="00947192"/>
    <w:rsid w:val="009471EA"/>
    <w:rsid w:val="009475EB"/>
    <w:rsid w:val="009500B9"/>
    <w:rsid w:val="0095060D"/>
    <w:rsid w:val="00951DC0"/>
    <w:rsid w:val="0095281F"/>
    <w:rsid w:val="009533EE"/>
    <w:rsid w:val="009539A9"/>
    <w:rsid w:val="00954036"/>
    <w:rsid w:val="009546B3"/>
    <w:rsid w:val="00955F02"/>
    <w:rsid w:val="0095739D"/>
    <w:rsid w:val="00957691"/>
    <w:rsid w:val="00957AD9"/>
    <w:rsid w:val="00957E04"/>
    <w:rsid w:val="00960276"/>
    <w:rsid w:val="009602F5"/>
    <w:rsid w:val="00961941"/>
    <w:rsid w:val="00961BBC"/>
    <w:rsid w:val="00962172"/>
    <w:rsid w:val="0096237D"/>
    <w:rsid w:val="00962A5D"/>
    <w:rsid w:val="0096317B"/>
    <w:rsid w:val="009633DD"/>
    <w:rsid w:val="00963C0A"/>
    <w:rsid w:val="00963C64"/>
    <w:rsid w:val="0096409A"/>
    <w:rsid w:val="00964E73"/>
    <w:rsid w:val="00965184"/>
    <w:rsid w:val="009658A9"/>
    <w:rsid w:val="00965A32"/>
    <w:rsid w:val="00965B6A"/>
    <w:rsid w:val="00965D51"/>
    <w:rsid w:val="00965DAF"/>
    <w:rsid w:val="00965EF3"/>
    <w:rsid w:val="00966B1F"/>
    <w:rsid w:val="00966DA4"/>
    <w:rsid w:val="00967873"/>
    <w:rsid w:val="00967F54"/>
    <w:rsid w:val="00972747"/>
    <w:rsid w:val="00972CC5"/>
    <w:rsid w:val="00972EC4"/>
    <w:rsid w:val="0097547D"/>
    <w:rsid w:val="0098065E"/>
    <w:rsid w:val="0098142D"/>
    <w:rsid w:val="00981F3D"/>
    <w:rsid w:val="00982086"/>
    <w:rsid w:val="00982472"/>
    <w:rsid w:val="009825D3"/>
    <w:rsid w:val="00982977"/>
    <w:rsid w:val="00982F4B"/>
    <w:rsid w:val="00983BA9"/>
    <w:rsid w:val="0098474F"/>
    <w:rsid w:val="00984D71"/>
    <w:rsid w:val="00985FBD"/>
    <w:rsid w:val="00986734"/>
    <w:rsid w:val="009877BE"/>
    <w:rsid w:val="00987910"/>
    <w:rsid w:val="009879E6"/>
    <w:rsid w:val="00987E29"/>
    <w:rsid w:val="00987FF7"/>
    <w:rsid w:val="00990389"/>
    <w:rsid w:val="0099053D"/>
    <w:rsid w:val="00991F4E"/>
    <w:rsid w:val="009931D5"/>
    <w:rsid w:val="00993206"/>
    <w:rsid w:val="00993921"/>
    <w:rsid w:val="00994D68"/>
    <w:rsid w:val="009958C0"/>
    <w:rsid w:val="009962F6"/>
    <w:rsid w:val="009966D1"/>
    <w:rsid w:val="009979D9"/>
    <w:rsid w:val="009A075F"/>
    <w:rsid w:val="009A0F10"/>
    <w:rsid w:val="009A10B2"/>
    <w:rsid w:val="009A13AF"/>
    <w:rsid w:val="009A4F0C"/>
    <w:rsid w:val="009A59DF"/>
    <w:rsid w:val="009A5B14"/>
    <w:rsid w:val="009A6068"/>
    <w:rsid w:val="009A6159"/>
    <w:rsid w:val="009B05C9"/>
    <w:rsid w:val="009B0F40"/>
    <w:rsid w:val="009B23EC"/>
    <w:rsid w:val="009B3156"/>
    <w:rsid w:val="009B38BA"/>
    <w:rsid w:val="009B3B22"/>
    <w:rsid w:val="009B3D61"/>
    <w:rsid w:val="009B3E6C"/>
    <w:rsid w:val="009B4E7F"/>
    <w:rsid w:val="009B5C93"/>
    <w:rsid w:val="009B64CB"/>
    <w:rsid w:val="009B7E90"/>
    <w:rsid w:val="009C0265"/>
    <w:rsid w:val="009C09DF"/>
    <w:rsid w:val="009C1CD7"/>
    <w:rsid w:val="009C2380"/>
    <w:rsid w:val="009C38CE"/>
    <w:rsid w:val="009C48D5"/>
    <w:rsid w:val="009C4CEA"/>
    <w:rsid w:val="009C5CAE"/>
    <w:rsid w:val="009C5EAC"/>
    <w:rsid w:val="009C6878"/>
    <w:rsid w:val="009C76BF"/>
    <w:rsid w:val="009D03C0"/>
    <w:rsid w:val="009D0648"/>
    <w:rsid w:val="009D0B9A"/>
    <w:rsid w:val="009D304E"/>
    <w:rsid w:val="009D314B"/>
    <w:rsid w:val="009D355D"/>
    <w:rsid w:val="009D36B8"/>
    <w:rsid w:val="009D41BD"/>
    <w:rsid w:val="009D4701"/>
    <w:rsid w:val="009D5402"/>
    <w:rsid w:val="009D583E"/>
    <w:rsid w:val="009D6A8B"/>
    <w:rsid w:val="009D7DFC"/>
    <w:rsid w:val="009E1440"/>
    <w:rsid w:val="009E22BD"/>
    <w:rsid w:val="009E2EA4"/>
    <w:rsid w:val="009E3092"/>
    <w:rsid w:val="009E31D6"/>
    <w:rsid w:val="009E3862"/>
    <w:rsid w:val="009E3B0F"/>
    <w:rsid w:val="009E4356"/>
    <w:rsid w:val="009E46F8"/>
    <w:rsid w:val="009E49D3"/>
    <w:rsid w:val="009E69D7"/>
    <w:rsid w:val="009E765E"/>
    <w:rsid w:val="009E782A"/>
    <w:rsid w:val="009E7869"/>
    <w:rsid w:val="009F2A54"/>
    <w:rsid w:val="009F2B01"/>
    <w:rsid w:val="009F2BC9"/>
    <w:rsid w:val="009F2FD3"/>
    <w:rsid w:val="009F3A65"/>
    <w:rsid w:val="009F3D2A"/>
    <w:rsid w:val="009F3E04"/>
    <w:rsid w:val="009F3F95"/>
    <w:rsid w:val="009F4921"/>
    <w:rsid w:val="009F4BFF"/>
    <w:rsid w:val="009F537B"/>
    <w:rsid w:val="009F594A"/>
    <w:rsid w:val="009F64D8"/>
    <w:rsid w:val="009F705B"/>
    <w:rsid w:val="009F7E93"/>
    <w:rsid w:val="009F7F08"/>
    <w:rsid w:val="00A00032"/>
    <w:rsid w:val="00A00570"/>
    <w:rsid w:val="00A00D38"/>
    <w:rsid w:val="00A0161E"/>
    <w:rsid w:val="00A01832"/>
    <w:rsid w:val="00A01E57"/>
    <w:rsid w:val="00A0292D"/>
    <w:rsid w:val="00A02FF2"/>
    <w:rsid w:val="00A0303A"/>
    <w:rsid w:val="00A03B6A"/>
    <w:rsid w:val="00A04565"/>
    <w:rsid w:val="00A06CC9"/>
    <w:rsid w:val="00A07695"/>
    <w:rsid w:val="00A07A8F"/>
    <w:rsid w:val="00A1051E"/>
    <w:rsid w:val="00A110D4"/>
    <w:rsid w:val="00A11990"/>
    <w:rsid w:val="00A11F27"/>
    <w:rsid w:val="00A12118"/>
    <w:rsid w:val="00A12F0B"/>
    <w:rsid w:val="00A13AD0"/>
    <w:rsid w:val="00A16A72"/>
    <w:rsid w:val="00A20AC6"/>
    <w:rsid w:val="00A21E2C"/>
    <w:rsid w:val="00A22098"/>
    <w:rsid w:val="00A22249"/>
    <w:rsid w:val="00A22F80"/>
    <w:rsid w:val="00A2497A"/>
    <w:rsid w:val="00A25631"/>
    <w:rsid w:val="00A25E37"/>
    <w:rsid w:val="00A26A8F"/>
    <w:rsid w:val="00A26AF6"/>
    <w:rsid w:val="00A26C05"/>
    <w:rsid w:val="00A26C54"/>
    <w:rsid w:val="00A26E09"/>
    <w:rsid w:val="00A27413"/>
    <w:rsid w:val="00A27F5B"/>
    <w:rsid w:val="00A3073C"/>
    <w:rsid w:val="00A31C76"/>
    <w:rsid w:val="00A31C8D"/>
    <w:rsid w:val="00A32172"/>
    <w:rsid w:val="00A32B51"/>
    <w:rsid w:val="00A3375F"/>
    <w:rsid w:val="00A34D65"/>
    <w:rsid w:val="00A356E9"/>
    <w:rsid w:val="00A35C54"/>
    <w:rsid w:val="00A36066"/>
    <w:rsid w:val="00A36853"/>
    <w:rsid w:val="00A3749E"/>
    <w:rsid w:val="00A37B12"/>
    <w:rsid w:val="00A37C4C"/>
    <w:rsid w:val="00A40131"/>
    <w:rsid w:val="00A40977"/>
    <w:rsid w:val="00A412BA"/>
    <w:rsid w:val="00A42BBF"/>
    <w:rsid w:val="00A42D52"/>
    <w:rsid w:val="00A43ABD"/>
    <w:rsid w:val="00A44B6B"/>
    <w:rsid w:val="00A44CDD"/>
    <w:rsid w:val="00A44E1E"/>
    <w:rsid w:val="00A4539E"/>
    <w:rsid w:val="00A50204"/>
    <w:rsid w:val="00A50555"/>
    <w:rsid w:val="00A50720"/>
    <w:rsid w:val="00A5140A"/>
    <w:rsid w:val="00A5338F"/>
    <w:rsid w:val="00A53807"/>
    <w:rsid w:val="00A5747B"/>
    <w:rsid w:val="00A60381"/>
    <w:rsid w:val="00A60A48"/>
    <w:rsid w:val="00A61C51"/>
    <w:rsid w:val="00A61EA9"/>
    <w:rsid w:val="00A6347D"/>
    <w:rsid w:val="00A63E6D"/>
    <w:rsid w:val="00A65A62"/>
    <w:rsid w:val="00A66435"/>
    <w:rsid w:val="00A66C99"/>
    <w:rsid w:val="00A67BA6"/>
    <w:rsid w:val="00A67BC2"/>
    <w:rsid w:val="00A67DA1"/>
    <w:rsid w:val="00A67F86"/>
    <w:rsid w:val="00A7079C"/>
    <w:rsid w:val="00A70A67"/>
    <w:rsid w:val="00A713CF"/>
    <w:rsid w:val="00A714A6"/>
    <w:rsid w:val="00A71BA9"/>
    <w:rsid w:val="00A71E78"/>
    <w:rsid w:val="00A72921"/>
    <w:rsid w:val="00A72DFF"/>
    <w:rsid w:val="00A73C9F"/>
    <w:rsid w:val="00A73FEF"/>
    <w:rsid w:val="00A74778"/>
    <w:rsid w:val="00A74D67"/>
    <w:rsid w:val="00A75B5F"/>
    <w:rsid w:val="00A77905"/>
    <w:rsid w:val="00A8071F"/>
    <w:rsid w:val="00A80979"/>
    <w:rsid w:val="00A80A22"/>
    <w:rsid w:val="00A829F9"/>
    <w:rsid w:val="00A83003"/>
    <w:rsid w:val="00A85FE9"/>
    <w:rsid w:val="00A86A01"/>
    <w:rsid w:val="00A901E4"/>
    <w:rsid w:val="00A90482"/>
    <w:rsid w:val="00A90858"/>
    <w:rsid w:val="00A9123F"/>
    <w:rsid w:val="00A92792"/>
    <w:rsid w:val="00A935BD"/>
    <w:rsid w:val="00A944AB"/>
    <w:rsid w:val="00A9637B"/>
    <w:rsid w:val="00A9701F"/>
    <w:rsid w:val="00A97C3F"/>
    <w:rsid w:val="00AA0E89"/>
    <w:rsid w:val="00AA2930"/>
    <w:rsid w:val="00AA4073"/>
    <w:rsid w:val="00AA4786"/>
    <w:rsid w:val="00AA4A5F"/>
    <w:rsid w:val="00AA524B"/>
    <w:rsid w:val="00AA5C59"/>
    <w:rsid w:val="00AA7069"/>
    <w:rsid w:val="00AB016F"/>
    <w:rsid w:val="00AB0541"/>
    <w:rsid w:val="00AB1786"/>
    <w:rsid w:val="00AB20F3"/>
    <w:rsid w:val="00AB34A9"/>
    <w:rsid w:val="00AB3A1E"/>
    <w:rsid w:val="00AB403B"/>
    <w:rsid w:val="00AB4720"/>
    <w:rsid w:val="00AB4737"/>
    <w:rsid w:val="00AB5A0F"/>
    <w:rsid w:val="00AB679E"/>
    <w:rsid w:val="00AB7CC0"/>
    <w:rsid w:val="00AC2AD0"/>
    <w:rsid w:val="00AC2C6E"/>
    <w:rsid w:val="00AC32CF"/>
    <w:rsid w:val="00AC343D"/>
    <w:rsid w:val="00AC3611"/>
    <w:rsid w:val="00AC3CC7"/>
    <w:rsid w:val="00AC4188"/>
    <w:rsid w:val="00AC4F12"/>
    <w:rsid w:val="00AC5441"/>
    <w:rsid w:val="00AC55FA"/>
    <w:rsid w:val="00AC5903"/>
    <w:rsid w:val="00AC6099"/>
    <w:rsid w:val="00AC61E8"/>
    <w:rsid w:val="00AC6636"/>
    <w:rsid w:val="00AC7307"/>
    <w:rsid w:val="00AC7D75"/>
    <w:rsid w:val="00AD0112"/>
    <w:rsid w:val="00AD04E0"/>
    <w:rsid w:val="00AD14E8"/>
    <w:rsid w:val="00AD1A99"/>
    <w:rsid w:val="00AD2CEB"/>
    <w:rsid w:val="00AD3520"/>
    <w:rsid w:val="00AD3545"/>
    <w:rsid w:val="00AD3A67"/>
    <w:rsid w:val="00AD5D0F"/>
    <w:rsid w:val="00AD5DDE"/>
    <w:rsid w:val="00AD61EC"/>
    <w:rsid w:val="00AD69BB"/>
    <w:rsid w:val="00AD7350"/>
    <w:rsid w:val="00AE0928"/>
    <w:rsid w:val="00AE0FAF"/>
    <w:rsid w:val="00AE11A0"/>
    <w:rsid w:val="00AE1514"/>
    <w:rsid w:val="00AE17C2"/>
    <w:rsid w:val="00AE1DD5"/>
    <w:rsid w:val="00AE5D7F"/>
    <w:rsid w:val="00AE61F0"/>
    <w:rsid w:val="00AE69DF"/>
    <w:rsid w:val="00AE6AB4"/>
    <w:rsid w:val="00AE74B4"/>
    <w:rsid w:val="00AE74EE"/>
    <w:rsid w:val="00AE7EF5"/>
    <w:rsid w:val="00AF0CC2"/>
    <w:rsid w:val="00AF1643"/>
    <w:rsid w:val="00AF30FF"/>
    <w:rsid w:val="00AF348E"/>
    <w:rsid w:val="00AF676C"/>
    <w:rsid w:val="00AF67D5"/>
    <w:rsid w:val="00AF6C12"/>
    <w:rsid w:val="00AF6FE0"/>
    <w:rsid w:val="00AF7DAA"/>
    <w:rsid w:val="00B006B4"/>
    <w:rsid w:val="00B0149D"/>
    <w:rsid w:val="00B02865"/>
    <w:rsid w:val="00B03485"/>
    <w:rsid w:val="00B0353D"/>
    <w:rsid w:val="00B0375A"/>
    <w:rsid w:val="00B041C6"/>
    <w:rsid w:val="00B04F92"/>
    <w:rsid w:val="00B05C26"/>
    <w:rsid w:val="00B05DAC"/>
    <w:rsid w:val="00B06155"/>
    <w:rsid w:val="00B0642B"/>
    <w:rsid w:val="00B113D7"/>
    <w:rsid w:val="00B11600"/>
    <w:rsid w:val="00B1206D"/>
    <w:rsid w:val="00B138BA"/>
    <w:rsid w:val="00B141DA"/>
    <w:rsid w:val="00B153E0"/>
    <w:rsid w:val="00B166B3"/>
    <w:rsid w:val="00B170F0"/>
    <w:rsid w:val="00B21E95"/>
    <w:rsid w:val="00B227A6"/>
    <w:rsid w:val="00B22A10"/>
    <w:rsid w:val="00B22B0D"/>
    <w:rsid w:val="00B2333F"/>
    <w:rsid w:val="00B2349B"/>
    <w:rsid w:val="00B23628"/>
    <w:rsid w:val="00B2371A"/>
    <w:rsid w:val="00B239BF"/>
    <w:rsid w:val="00B248F0"/>
    <w:rsid w:val="00B25614"/>
    <w:rsid w:val="00B2579D"/>
    <w:rsid w:val="00B260B4"/>
    <w:rsid w:val="00B30817"/>
    <w:rsid w:val="00B31572"/>
    <w:rsid w:val="00B3160A"/>
    <w:rsid w:val="00B339AE"/>
    <w:rsid w:val="00B33E6F"/>
    <w:rsid w:val="00B366C0"/>
    <w:rsid w:val="00B36E13"/>
    <w:rsid w:val="00B36E54"/>
    <w:rsid w:val="00B401CC"/>
    <w:rsid w:val="00B40F18"/>
    <w:rsid w:val="00B40FAC"/>
    <w:rsid w:val="00B417B0"/>
    <w:rsid w:val="00B4274A"/>
    <w:rsid w:val="00B427B2"/>
    <w:rsid w:val="00B43214"/>
    <w:rsid w:val="00B43C56"/>
    <w:rsid w:val="00B4421B"/>
    <w:rsid w:val="00B44545"/>
    <w:rsid w:val="00B4479B"/>
    <w:rsid w:val="00B450FD"/>
    <w:rsid w:val="00B45A8E"/>
    <w:rsid w:val="00B469EC"/>
    <w:rsid w:val="00B474A8"/>
    <w:rsid w:val="00B510C0"/>
    <w:rsid w:val="00B538E0"/>
    <w:rsid w:val="00B5412B"/>
    <w:rsid w:val="00B54B2F"/>
    <w:rsid w:val="00B54D46"/>
    <w:rsid w:val="00B5547F"/>
    <w:rsid w:val="00B55D6F"/>
    <w:rsid w:val="00B56086"/>
    <w:rsid w:val="00B574C3"/>
    <w:rsid w:val="00B57675"/>
    <w:rsid w:val="00B60A37"/>
    <w:rsid w:val="00B61ADA"/>
    <w:rsid w:val="00B61E31"/>
    <w:rsid w:val="00B624FA"/>
    <w:rsid w:val="00B626FF"/>
    <w:rsid w:val="00B65210"/>
    <w:rsid w:val="00B655F3"/>
    <w:rsid w:val="00B65968"/>
    <w:rsid w:val="00B663AE"/>
    <w:rsid w:val="00B667B8"/>
    <w:rsid w:val="00B6699A"/>
    <w:rsid w:val="00B67A15"/>
    <w:rsid w:val="00B71D4A"/>
    <w:rsid w:val="00B7280F"/>
    <w:rsid w:val="00B72CA4"/>
    <w:rsid w:val="00B7333D"/>
    <w:rsid w:val="00B73B7D"/>
    <w:rsid w:val="00B746FE"/>
    <w:rsid w:val="00B76C81"/>
    <w:rsid w:val="00B76F32"/>
    <w:rsid w:val="00B812F8"/>
    <w:rsid w:val="00B81463"/>
    <w:rsid w:val="00B846E6"/>
    <w:rsid w:val="00B86DA2"/>
    <w:rsid w:val="00B86E13"/>
    <w:rsid w:val="00B87088"/>
    <w:rsid w:val="00B877C5"/>
    <w:rsid w:val="00B90018"/>
    <w:rsid w:val="00B91A1D"/>
    <w:rsid w:val="00B91A4A"/>
    <w:rsid w:val="00B91A92"/>
    <w:rsid w:val="00B9343F"/>
    <w:rsid w:val="00B94AE3"/>
    <w:rsid w:val="00B9574A"/>
    <w:rsid w:val="00B9633B"/>
    <w:rsid w:val="00B96753"/>
    <w:rsid w:val="00B96781"/>
    <w:rsid w:val="00B971D4"/>
    <w:rsid w:val="00B97A1C"/>
    <w:rsid w:val="00BA24EA"/>
    <w:rsid w:val="00BA2B57"/>
    <w:rsid w:val="00BA2BB2"/>
    <w:rsid w:val="00BA3D77"/>
    <w:rsid w:val="00BA3FEC"/>
    <w:rsid w:val="00BA5C5E"/>
    <w:rsid w:val="00BA5C69"/>
    <w:rsid w:val="00BA63DA"/>
    <w:rsid w:val="00BA669E"/>
    <w:rsid w:val="00BA6A88"/>
    <w:rsid w:val="00BA6F4F"/>
    <w:rsid w:val="00BA7318"/>
    <w:rsid w:val="00BB0257"/>
    <w:rsid w:val="00BB07F4"/>
    <w:rsid w:val="00BB18EC"/>
    <w:rsid w:val="00BB1CD4"/>
    <w:rsid w:val="00BB2094"/>
    <w:rsid w:val="00BB2639"/>
    <w:rsid w:val="00BB3326"/>
    <w:rsid w:val="00BB42B5"/>
    <w:rsid w:val="00BB443C"/>
    <w:rsid w:val="00BB6309"/>
    <w:rsid w:val="00BB6A02"/>
    <w:rsid w:val="00BB753B"/>
    <w:rsid w:val="00BB7E89"/>
    <w:rsid w:val="00BC00BB"/>
    <w:rsid w:val="00BC0BBB"/>
    <w:rsid w:val="00BC4C8D"/>
    <w:rsid w:val="00BC4E82"/>
    <w:rsid w:val="00BC5B62"/>
    <w:rsid w:val="00BC61B8"/>
    <w:rsid w:val="00BC6647"/>
    <w:rsid w:val="00BC6839"/>
    <w:rsid w:val="00BC6D31"/>
    <w:rsid w:val="00BC777B"/>
    <w:rsid w:val="00BD20A3"/>
    <w:rsid w:val="00BD21E6"/>
    <w:rsid w:val="00BD3838"/>
    <w:rsid w:val="00BD4A86"/>
    <w:rsid w:val="00BD6C73"/>
    <w:rsid w:val="00BD7180"/>
    <w:rsid w:val="00BD7645"/>
    <w:rsid w:val="00BE0F70"/>
    <w:rsid w:val="00BE1527"/>
    <w:rsid w:val="00BE1B64"/>
    <w:rsid w:val="00BE277C"/>
    <w:rsid w:val="00BE2831"/>
    <w:rsid w:val="00BE2E20"/>
    <w:rsid w:val="00BE37E7"/>
    <w:rsid w:val="00BE3AB9"/>
    <w:rsid w:val="00BE4AF1"/>
    <w:rsid w:val="00BE53C0"/>
    <w:rsid w:val="00BE5AF8"/>
    <w:rsid w:val="00BE670C"/>
    <w:rsid w:val="00BE6EBA"/>
    <w:rsid w:val="00BE71C3"/>
    <w:rsid w:val="00BE72B1"/>
    <w:rsid w:val="00BE72B4"/>
    <w:rsid w:val="00BE7EB6"/>
    <w:rsid w:val="00BF06D9"/>
    <w:rsid w:val="00BF2400"/>
    <w:rsid w:val="00BF280F"/>
    <w:rsid w:val="00BF4457"/>
    <w:rsid w:val="00BF4525"/>
    <w:rsid w:val="00BF46A7"/>
    <w:rsid w:val="00BF51C4"/>
    <w:rsid w:val="00BF6498"/>
    <w:rsid w:val="00BF720E"/>
    <w:rsid w:val="00C04495"/>
    <w:rsid w:val="00C045F2"/>
    <w:rsid w:val="00C049AF"/>
    <w:rsid w:val="00C04A22"/>
    <w:rsid w:val="00C04FFA"/>
    <w:rsid w:val="00C064D9"/>
    <w:rsid w:val="00C0657F"/>
    <w:rsid w:val="00C066BA"/>
    <w:rsid w:val="00C067CB"/>
    <w:rsid w:val="00C07842"/>
    <w:rsid w:val="00C10353"/>
    <w:rsid w:val="00C105E7"/>
    <w:rsid w:val="00C10ADD"/>
    <w:rsid w:val="00C1227C"/>
    <w:rsid w:val="00C1317C"/>
    <w:rsid w:val="00C13894"/>
    <w:rsid w:val="00C139A4"/>
    <w:rsid w:val="00C13D06"/>
    <w:rsid w:val="00C13D59"/>
    <w:rsid w:val="00C13FFF"/>
    <w:rsid w:val="00C14559"/>
    <w:rsid w:val="00C158E4"/>
    <w:rsid w:val="00C16A31"/>
    <w:rsid w:val="00C16D35"/>
    <w:rsid w:val="00C21948"/>
    <w:rsid w:val="00C22403"/>
    <w:rsid w:val="00C22B18"/>
    <w:rsid w:val="00C2332D"/>
    <w:rsid w:val="00C23D78"/>
    <w:rsid w:val="00C25629"/>
    <w:rsid w:val="00C27446"/>
    <w:rsid w:val="00C27484"/>
    <w:rsid w:val="00C302EC"/>
    <w:rsid w:val="00C31093"/>
    <w:rsid w:val="00C31356"/>
    <w:rsid w:val="00C31486"/>
    <w:rsid w:val="00C317B3"/>
    <w:rsid w:val="00C31D08"/>
    <w:rsid w:val="00C33770"/>
    <w:rsid w:val="00C361EA"/>
    <w:rsid w:val="00C372F9"/>
    <w:rsid w:val="00C40030"/>
    <w:rsid w:val="00C40297"/>
    <w:rsid w:val="00C4076B"/>
    <w:rsid w:val="00C4087F"/>
    <w:rsid w:val="00C41F04"/>
    <w:rsid w:val="00C42DC2"/>
    <w:rsid w:val="00C43009"/>
    <w:rsid w:val="00C442CB"/>
    <w:rsid w:val="00C44ABA"/>
    <w:rsid w:val="00C44C21"/>
    <w:rsid w:val="00C456A4"/>
    <w:rsid w:val="00C46485"/>
    <w:rsid w:val="00C4681F"/>
    <w:rsid w:val="00C47758"/>
    <w:rsid w:val="00C47A4B"/>
    <w:rsid w:val="00C50DCC"/>
    <w:rsid w:val="00C50EF9"/>
    <w:rsid w:val="00C51F30"/>
    <w:rsid w:val="00C52674"/>
    <w:rsid w:val="00C52CC6"/>
    <w:rsid w:val="00C530E3"/>
    <w:rsid w:val="00C53CB9"/>
    <w:rsid w:val="00C55612"/>
    <w:rsid w:val="00C5580F"/>
    <w:rsid w:val="00C560AE"/>
    <w:rsid w:val="00C56DC2"/>
    <w:rsid w:val="00C576A7"/>
    <w:rsid w:val="00C576ED"/>
    <w:rsid w:val="00C57AB2"/>
    <w:rsid w:val="00C609C1"/>
    <w:rsid w:val="00C6151E"/>
    <w:rsid w:val="00C61C22"/>
    <w:rsid w:val="00C61D2F"/>
    <w:rsid w:val="00C62279"/>
    <w:rsid w:val="00C623C7"/>
    <w:rsid w:val="00C625D1"/>
    <w:rsid w:val="00C62602"/>
    <w:rsid w:val="00C6280E"/>
    <w:rsid w:val="00C62ADE"/>
    <w:rsid w:val="00C6345D"/>
    <w:rsid w:val="00C64681"/>
    <w:rsid w:val="00C64E13"/>
    <w:rsid w:val="00C660D6"/>
    <w:rsid w:val="00C66117"/>
    <w:rsid w:val="00C66265"/>
    <w:rsid w:val="00C66826"/>
    <w:rsid w:val="00C71915"/>
    <w:rsid w:val="00C749A6"/>
    <w:rsid w:val="00C76D9B"/>
    <w:rsid w:val="00C773E9"/>
    <w:rsid w:val="00C77777"/>
    <w:rsid w:val="00C77E9D"/>
    <w:rsid w:val="00C8276F"/>
    <w:rsid w:val="00C82D25"/>
    <w:rsid w:val="00C83103"/>
    <w:rsid w:val="00C83BFA"/>
    <w:rsid w:val="00C84079"/>
    <w:rsid w:val="00C84248"/>
    <w:rsid w:val="00C846B7"/>
    <w:rsid w:val="00C84B94"/>
    <w:rsid w:val="00C8502C"/>
    <w:rsid w:val="00C8579C"/>
    <w:rsid w:val="00C857FD"/>
    <w:rsid w:val="00C85C1E"/>
    <w:rsid w:val="00C85E69"/>
    <w:rsid w:val="00C861B8"/>
    <w:rsid w:val="00C87F77"/>
    <w:rsid w:val="00C90277"/>
    <w:rsid w:val="00C91E84"/>
    <w:rsid w:val="00C924B9"/>
    <w:rsid w:val="00C93500"/>
    <w:rsid w:val="00C93E8A"/>
    <w:rsid w:val="00C93F61"/>
    <w:rsid w:val="00C947E3"/>
    <w:rsid w:val="00C948BF"/>
    <w:rsid w:val="00C95C90"/>
    <w:rsid w:val="00C961ED"/>
    <w:rsid w:val="00C96335"/>
    <w:rsid w:val="00C96F0D"/>
    <w:rsid w:val="00C978CC"/>
    <w:rsid w:val="00C97C5C"/>
    <w:rsid w:val="00C97D7F"/>
    <w:rsid w:val="00C97ED6"/>
    <w:rsid w:val="00CA09B7"/>
    <w:rsid w:val="00CA1DC0"/>
    <w:rsid w:val="00CA3837"/>
    <w:rsid w:val="00CA4871"/>
    <w:rsid w:val="00CA4A47"/>
    <w:rsid w:val="00CA4DF1"/>
    <w:rsid w:val="00CA5C72"/>
    <w:rsid w:val="00CA5FDE"/>
    <w:rsid w:val="00CA6462"/>
    <w:rsid w:val="00CA6840"/>
    <w:rsid w:val="00CA730E"/>
    <w:rsid w:val="00CB075B"/>
    <w:rsid w:val="00CB1672"/>
    <w:rsid w:val="00CB1D69"/>
    <w:rsid w:val="00CB2CDE"/>
    <w:rsid w:val="00CB315F"/>
    <w:rsid w:val="00CB3A71"/>
    <w:rsid w:val="00CB4585"/>
    <w:rsid w:val="00CB4E7A"/>
    <w:rsid w:val="00CB5365"/>
    <w:rsid w:val="00CB57B7"/>
    <w:rsid w:val="00CB687D"/>
    <w:rsid w:val="00CB6A26"/>
    <w:rsid w:val="00CB7BB1"/>
    <w:rsid w:val="00CC0135"/>
    <w:rsid w:val="00CC06C4"/>
    <w:rsid w:val="00CC0745"/>
    <w:rsid w:val="00CC1B35"/>
    <w:rsid w:val="00CC2D6F"/>
    <w:rsid w:val="00CC3397"/>
    <w:rsid w:val="00CC5275"/>
    <w:rsid w:val="00CC547D"/>
    <w:rsid w:val="00CC5B51"/>
    <w:rsid w:val="00CC677E"/>
    <w:rsid w:val="00CC74CD"/>
    <w:rsid w:val="00CD0F11"/>
    <w:rsid w:val="00CD12E8"/>
    <w:rsid w:val="00CD1F63"/>
    <w:rsid w:val="00CD32E8"/>
    <w:rsid w:val="00CD3D88"/>
    <w:rsid w:val="00CD3D98"/>
    <w:rsid w:val="00CD3F8D"/>
    <w:rsid w:val="00CD420D"/>
    <w:rsid w:val="00CD4559"/>
    <w:rsid w:val="00CD4622"/>
    <w:rsid w:val="00CD5370"/>
    <w:rsid w:val="00CD5A78"/>
    <w:rsid w:val="00CD5B31"/>
    <w:rsid w:val="00CD6FC9"/>
    <w:rsid w:val="00CD730D"/>
    <w:rsid w:val="00CD7EF9"/>
    <w:rsid w:val="00CE02FC"/>
    <w:rsid w:val="00CE0445"/>
    <w:rsid w:val="00CE08FA"/>
    <w:rsid w:val="00CE0BDA"/>
    <w:rsid w:val="00CE2EBB"/>
    <w:rsid w:val="00CE3B3B"/>
    <w:rsid w:val="00CE52E5"/>
    <w:rsid w:val="00CE57BD"/>
    <w:rsid w:val="00CE5F13"/>
    <w:rsid w:val="00CE6720"/>
    <w:rsid w:val="00CE68BC"/>
    <w:rsid w:val="00CE6D0C"/>
    <w:rsid w:val="00CE71EB"/>
    <w:rsid w:val="00CF07AA"/>
    <w:rsid w:val="00CF18CE"/>
    <w:rsid w:val="00CF2074"/>
    <w:rsid w:val="00CF31BE"/>
    <w:rsid w:val="00CF49B0"/>
    <w:rsid w:val="00CF5858"/>
    <w:rsid w:val="00CF5946"/>
    <w:rsid w:val="00CF5984"/>
    <w:rsid w:val="00CF5A6B"/>
    <w:rsid w:val="00CF6D11"/>
    <w:rsid w:val="00CF7247"/>
    <w:rsid w:val="00CF727E"/>
    <w:rsid w:val="00CF7557"/>
    <w:rsid w:val="00CF7A80"/>
    <w:rsid w:val="00CF7F81"/>
    <w:rsid w:val="00D008E0"/>
    <w:rsid w:val="00D00E24"/>
    <w:rsid w:val="00D01058"/>
    <w:rsid w:val="00D01694"/>
    <w:rsid w:val="00D017A8"/>
    <w:rsid w:val="00D01A61"/>
    <w:rsid w:val="00D01CEC"/>
    <w:rsid w:val="00D0240B"/>
    <w:rsid w:val="00D02FF4"/>
    <w:rsid w:val="00D04361"/>
    <w:rsid w:val="00D04EDD"/>
    <w:rsid w:val="00D05194"/>
    <w:rsid w:val="00D056DE"/>
    <w:rsid w:val="00D0601C"/>
    <w:rsid w:val="00D069EB"/>
    <w:rsid w:val="00D07E82"/>
    <w:rsid w:val="00D10172"/>
    <w:rsid w:val="00D107CA"/>
    <w:rsid w:val="00D10CCC"/>
    <w:rsid w:val="00D10E6C"/>
    <w:rsid w:val="00D11034"/>
    <w:rsid w:val="00D11889"/>
    <w:rsid w:val="00D125FF"/>
    <w:rsid w:val="00D12A4F"/>
    <w:rsid w:val="00D12DFB"/>
    <w:rsid w:val="00D153FF"/>
    <w:rsid w:val="00D1614A"/>
    <w:rsid w:val="00D17E9C"/>
    <w:rsid w:val="00D22640"/>
    <w:rsid w:val="00D22899"/>
    <w:rsid w:val="00D22DFD"/>
    <w:rsid w:val="00D230A3"/>
    <w:rsid w:val="00D23921"/>
    <w:rsid w:val="00D2691E"/>
    <w:rsid w:val="00D26A0D"/>
    <w:rsid w:val="00D2755E"/>
    <w:rsid w:val="00D30ECA"/>
    <w:rsid w:val="00D3114B"/>
    <w:rsid w:val="00D3126C"/>
    <w:rsid w:val="00D31500"/>
    <w:rsid w:val="00D32045"/>
    <w:rsid w:val="00D327EE"/>
    <w:rsid w:val="00D33CC8"/>
    <w:rsid w:val="00D33E57"/>
    <w:rsid w:val="00D34539"/>
    <w:rsid w:val="00D348ED"/>
    <w:rsid w:val="00D35CC0"/>
    <w:rsid w:val="00D35F65"/>
    <w:rsid w:val="00D36D81"/>
    <w:rsid w:val="00D378CD"/>
    <w:rsid w:val="00D4021A"/>
    <w:rsid w:val="00D40455"/>
    <w:rsid w:val="00D41462"/>
    <w:rsid w:val="00D42781"/>
    <w:rsid w:val="00D42EAA"/>
    <w:rsid w:val="00D43500"/>
    <w:rsid w:val="00D451DD"/>
    <w:rsid w:val="00D4605D"/>
    <w:rsid w:val="00D4632D"/>
    <w:rsid w:val="00D5244B"/>
    <w:rsid w:val="00D52507"/>
    <w:rsid w:val="00D52748"/>
    <w:rsid w:val="00D529AA"/>
    <w:rsid w:val="00D54148"/>
    <w:rsid w:val="00D5469D"/>
    <w:rsid w:val="00D5524B"/>
    <w:rsid w:val="00D56F8B"/>
    <w:rsid w:val="00D607FB"/>
    <w:rsid w:val="00D60C00"/>
    <w:rsid w:val="00D60DFA"/>
    <w:rsid w:val="00D6112E"/>
    <w:rsid w:val="00D61D09"/>
    <w:rsid w:val="00D61F2D"/>
    <w:rsid w:val="00D64C9F"/>
    <w:rsid w:val="00D6522C"/>
    <w:rsid w:val="00D6543E"/>
    <w:rsid w:val="00D67C38"/>
    <w:rsid w:val="00D67E2B"/>
    <w:rsid w:val="00D722F6"/>
    <w:rsid w:val="00D738E5"/>
    <w:rsid w:val="00D73B2D"/>
    <w:rsid w:val="00D73CD5"/>
    <w:rsid w:val="00D73F43"/>
    <w:rsid w:val="00D744FF"/>
    <w:rsid w:val="00D74773"/>
    <w:rsid w:val="00D7693C"/>
    <w:rsid w:val="00D7777B"/>
    <w:rsid w:val="00D77885"/>
    <w:rsid w:val="00D80021"/>
    <w:rsid w:val="00D805F6"/>
    <w:rsid w:val="00D82A82"/>
    <w:rsid w:val="00D83121"/>
    <w:rsid w:val="00D83193"/>
    <w:rsid w:val="00D8457E"/>
    <w:rsid w:val="00D855D4"/>
    <w:rsid w:val="00D8569D"/>
    <w:rsid w:val="00D8587C"/>
    <w:rsid w:val="00D85FB5"/>
    <w:rsid w:val="00D86961"/>
    <w:rsid w:val="00D86F7A"/>
    <w:rsid w:val="00D8739D"/>
    <w:rsid w:val="00D876AC"/>
    <w:rsid w:val="00D87DBC"/>
    <w:rsid w:val="00D906EE"/>
    <w:rsid w:val="00D907DF"/>
    <w:rsid w:val="00D9111C"/>
    <w:rsid w:val="00D9117D"/>
    <w:rsid w:val="00D91DF1"/>
    <w:rsid w:val="00D92DED"/>
    <w:rsid w:val="00D93FD0"/>
    <w:rsid w:val="00D948CA"/>
    <w:rsid w:val="00D94CE0"/>
    <w:rsid w:val="00D9743F"/>
    <w:rsid w:val="00D97750"/>
    <w:rsid w:val="00D97A7F"/>
    <w:rsid w:val="00D97F5E"/>
    <w:rsid w:val="00DA0388"/>
    <w:rsid w:val="00DA0768"/>
    <w:rsid w:val="00DA19C0"/>
    <w:rsid w:val="00DA2F1A"/>
    <w:rsid w:val="00DA44A3"/>
    <w:rsid w:val="00DA4C56"/>
    <w:rsid w:val="00DA5360"/>
    <w:rsid w:val="00DA6F10"/>
    <w:rsid w:val="00DA78BF"/>
    <w:rsid w:val="00DA7BF4"/>
    <w:rsid w:val="00DA7D15"/>
    <w:rsid w:val="00DB0A81"/>
    <w:rsid w:val="00DB30EC"/>
    <w:rsid w:val="00DB4C99"/>
    <w:rsid w:val="00DB4F0D"/>
    <w:rsid w:val="00DB68B3"/>
    <w:rsid w:val="00DB70B4"/>
    <w:rsid w:val="00DB76D6"/>
    <w:rsid w:val="00DC1E32"/>
    <w:rsid w:val="00DC2083"/>
    <w:rsid w:val="00DC2500"/>
    <w:rsid w:val="00DC25D4"/>
    <w:rsid w:val="00DC30BA"/>
    <w:rsid w:val="00DC3EC9"/>
    <w:rsid w:val="00DC45E6"/>
    <w:rsid w:val="00DC4F73"/>
    <w:rsid w:val="00DC5291"/>
    <w:rsid w:val="00DC7059"/>
    <w:rsid w:val="00DC7B67"/>
    <w:rsid w:val="00DD1490"/>
    <w:rsid w:val="00DD1F0F"/>
    <w:rsid w:val="00DD228D"/>
    <w:rsid w:val="00DD29FC"/>
    <w:rsid w:val="00DD3389"/>
    <w:rsid w:val="00DD3F72"/>
    <w:rsid w:val="00DD45B5"/>
    <w:rsid w:val="00DD4960"/>
    <w:rsid w:val="00DD6B42"/>
    <w:rsid w:val="00DE108A"/>
    <w:rsid w:val="00DE1448"/>
    <w:rsid w:val="00DE2557"/>
    <w:rsid w:val="00DE25A9"/>
    <w:rsid w:val="00DE2F70"/>
    <w:rsid w:val="00DE3A14"/>
    <w:rsid w:val="00DE434E"/>
    <w:rsid w:val="00DE4E16"/>
    <w:rsid w:val="00DE4F94"/>
    <w:rsid w:val="00DE6028"/>
    <w:rsid w:val="00DE6758"/>
    <w:rsid w:val="00DE67DA"/>
    <w:rsid w:val="00DE6F9B"/>
    <w:rsid w:val="00DE7E8A"/>
    <w:rsid w:val="00DF1FF3"/>
    <w:rsid w:val="00DF2D78"/>
    <w:rsid w:val="00DF42E0"/>
    <w:rsid w:val="00DF4D0D"/>
    <w:rsid w:val="00DF510D"/>
    <w:rsid w:val="00DF5395"/>
    <w:rsid w:val="00DF5999"/>
    <w:rsid w:val="00DF62E4"/>
    <w:rsid w:val="00DF64C3"/>
    <w:rsid w:val="00DF6CB8"/>
    <w:rsid w:val="00DF72E7"/>
    <w:rsid w:val="00DF7B47"/>
    <w:rsid w:val="00DF7C75"/>
    <w:rsid w:val="00DF7FAF"/>
    <w:rsid w:val="00E00DFF"/>
    <w:rsid w:val="00E01F12"/>
    <w:rsid w:val="00E02595"/>
    <w:rsid w:val="00E03972"/>
    <w:rsid w:val="00E03C98"/>
    <w:rsid w:val="00E0467F"/>
    <w:rsid w:val="00E046EF"/>
    <w:rsid w:val="00E04B55"/>
    <w:rsid w:val="00E067CB"/>
    <w:rsid w:val="00E070C5"/>
    <w:rsid w:val="00E0711A"/>
    <w:rsid w:val="00E07742"/>
    <w:rsid w:val="00E11996"/>
    <w:rsid w:val="00E11E01"/>
    <w:rsid w:val="00E11E90"/>
    <w:rsid w:val="00E1319C"/>
    <w:rsid w:val="00E1450C"/>
    <w:rsid w:val="00E15EC3"/>
    <w:rsid w:val="00E16105"/>
    <w:rsid w:val="00E1618B"/>
    <w:rsid w:val="00E162F3"/>
    <w:rsid w:val="00E173FF"/>
    <w:rsid w:val="00E17B6E"/>
    <w:rsid w:val="00E2044D"/>
    <w:rsid w:val="00E2095A"/>
    <w:rsid w:val="00E21CA2"/>
    <w:rsid w:val="00E2287A"/>
    <w:rsid w:val="00E2368B"/>
    <w:rsid w:val="00E23742"/>
    <w:rsid w:val="00E23C5E"/>
    <w:rsid w:val="00E23EDB"/>
    <w:rsid w:val="00E2456F"/>
    <w:rsid w:val="00E24C42"/>
    <w:rsid w:val="00E2510B"/>
    <w:rsid w:val="00E2570B"/>
    <w:rsid w:val="00E25AF8"/>
    <w:rsid w:val="00E26948"/>
    <w:rsid w:val="00E273B8"/>
    <w:rsid w:val="00E27AAA"/>
    <w:rsid w:val="00E305FA"/>
    <w:rsid w:val="00E3077F"/>
    <w:rsid w:val="00E3142E"/>
    <w:rsid w:val="00E31BC6"/>
    <w:rsid w:val="00E31E2D"/>
    <w:rsid w:val="00E323C1"/>
    <w:rsid w:val="00E323DE"/>
    <w:rsid w:val="00E32663"/>
    <w:rsid w:val="00E32BF1"/>
    <w:rsid w:val="00E34004"/>
    <w:rsid w:val="00E34216"/>
    <w:rsid w:val="00E34E75"/>
    <w:rsid w:val="00E35B14"/>
    <w:rsid w:val="00E35E51"/>
    <w:rsid w:val="00E35E54"/>
    <w:rsid w:val="00E375DE"/>
    <w:rsid w:val="00E37A2F"/>
    <w:rsid w:val="00E4018F"/>
    <w:rsid w:val="00E40E91"/>
    <w:rsid w:val="00E413D1"/>
    <w:rsid w:val="00E42B64"/>
    <w:rsid w:val="00E42CF6"/>
    <w:rsid w:val="00E433AE"/>
    <w:rsid w:val="00E443F1"/>
    <w:rsid w:val="00E44570"/>
    <w:rsid w:val="00E46128"/>
    <w:rsid w:val="00E46E8D"/>
    <w:rsid w:val="00E47678"/>
    <w:rsid w:val="00E50A3D"/>
    <w:rsid w:val="00E51784"/>
    <w:rsid w:val="00E51E90"/>
    <w:rsid w:val="00E52974"/>
    <w:rsid w:val="00E54D6C"/>
    <w:rsid w:val="00E560DA"/>
    <w:rsid w:val="00E56D06"/>
    <w:rsid w:val="00E5770E"/>
    <w:rsid w:val="00E5776C"/>
    <w:rsid w:val="00E57F0E"/>
    <w:rsid w:val="00E61351"/>
    <w:rsid w:val="00E61CFB"/>
    <w:rsid w:val="00E625F1"/>
    <w:rsid w:val="00E6291D"/>
    <w:rsid w:val="00E6384D"/>
    <w:rsid w:val="00E64DC1"/>
    <w:rsid w:val="00E66432"/>
    <w:rsid w:val="00E6665F"/>
    <w:rsid w:val="00E67DD5"/>
    <w:rsid w:val="00E70310"/>
    <w:rsid w:val="00E70892"/>
    <w:rsid w:val="00E71400"/>
    <w:rsid w:val="00E7250E"/>
    <w:rsid w:val="00E727E8"/>
    <w:rsid w:val="00E73D7B"/>
    <w:rsid w:val="00E74A65"/>
    <w:rsid w:val="00E74E9D"/>
    <w:rsid w:val="00E768F3"/>
    <w:rsid w:val="00E81BE8"/>
    <w:rsid w:val="00E81E33"/>
    <w:rsid w:val="00E82270"/>
    <w:rsid w:val="00E84993"/>
    <w:rsid w:val="00E853F0"/>
    <w:rsid w:val="00E85724"/>
    <w:rsid w:val="00E85FBD"/>
    <w:rsid w:val="00E9154C"/>
    <w:rsid w:val="00E91657"/>
    <w:rsid w:val="00E92155"/>
    <w:rsid w:val="00E92606"/>
    <w:rsid w:val="00E92719"/>
    <w:rsid w:val="00E933A5"/>
    <w:rsid w:val="00E93854"/>
    <w:rsid w:val="00E93D04"/>
    <w:rsid w:val="00E94E60"/>
    <w:rsid w:val="00E95611"/>
    <w:rsid w:val="00E95B4E"/>
    <w:rsid w:val="00E95E68"/>
    <w:rsid w:val="00E95FD7"/>
    <w:rsid w:val="00E96535"/>
    <w:rsid w:val="00E96644"/>
    <w:rsid w:val="00E96C0C"/>
    <w:rsid w:val="00EA0623"/>
    <w:rsid w:val="00EA1329"/>
    <w:rsid w:val="00EA165D"/>
    <w:rsid w:val="00EA165E"/>
    <w:rsid w:val="00EA1CF7"/>
    <w:rsid w:val="00EA204B"/>
    <w:rsid w:val="00EA2936"/>
    <w:rsid w:val="00EA2EB3"/>
    <w:rsid w:val="00EA33EB"/>
    <w:rsid w:val="00EA4476"/>
    <w:rsid w:val="00EA4756"/>
    <w:rsid w:val="00EA4972"/>
    <w:rsid w:val="00EA4AC3"/>
    <w:rsid w:val="00EA65F5"/>
    <w:rsid w:val="00EA6D3F"/>
    <w:rsid w:val="00EA6F40"/>
    <w:rsid w:val="00EA6FB4"/>
    <w:rsid w:val="00EA7140"/>
    <w:rsid w:val="00EB077E"/>
    <w:rsid w:val="00EB0A48"/>
    <w:rsid w:val="00EB13E6"/>
    <w:rsid w:val="00EB1DB0"/>
    <w:rsid w:val="00EB2347"/>
    <w:rsid w:val="00EB37E1"/>
    <w:rsid w:val="00EB4EA5"/>
    <w:rsid w:val="00EB6099"/>
    <w:rsid w:val="00EB60A2"/>
    <w:rsid w:val="00EB63E9"/>
    <w:rsid w:val="00EB71D4"/>
    <w:rsid w:val="00EB720A"/>
    <w:rsid w:val="00EB77A2"/>
    <w:rsid w:val="00EC0571"/>
    <w:rsid w:val="00EC18BC"/>
    <w:rsid w:val="00EC2F36"/>
    <w:rsid w:val="00EC3BC4"/>
    <w:rsid w:val="00EC4E39"/>
    <w:rsid w:val="00EC5D7E"/>
    <w:rsid w:val="00EC6937"/>
    <w:rsid w:val="00EC6B28"/>
    <w:rsid w:val="00EC6B34"/>
    <w:rsid w:val="00EC6B91"/>
    <w:rsid w:val="00EC7A59"/>
    <w:rsid w:val="00EC7D9F"/>
    <w:rsid w:val="00ED1ED6"/>
    <w:rsid w:val="00ED2031"/>
    <w:rsid w:val="00ED2719"/>
    <w:rsid w:val="00ED28A6"/>
    <w:rsid w:val="00ED2F0F"/>
    <w:rsid w:val="00ED49E5"/>
    <w:rsid w:val="00ED5F3C"/>
    <w:rsid w:val="00ED5FE7"/>
    <w:rsid w:val="00ED72B4"/>
    <w:rsid w:val="00EE0327"/>
    <w:rsid w:val="00EE0536"/>
    <w:rsid w:val="00EE0A12"/>
    <w:rsid w:val="00EE0BF0"/>
    <w:rsid w:val="00EE1510"/>
    <w:rsid w:val="00EE1BDD"/>
    <w:rsid w:val="00EE1EF1"/>
    <w:rsid w:val="00EE1F77"/>
    <w:rsid w:val="00EE3B02"/>
    <w:rsid w:val="00EE4413"/>
    <w:rsid w:val="00EE5F2D"/>
    <w:rsid w:val="00EE6B00"/>
    <w:rsid w:val="00EE6CC3"/>
    <w:rsid w:val="00EE74BD"/>
    <w:rsid w:val="00EF010A"/>
    <w:rsid w:val="00EF082D"/>
    <w:rsid w:val="00EF2A41"/>
    <w:rsid w:val="00EF3B8A"/>
    <w:rsid w:val="00EF4432"/>
    <w:rsid w:val="00EF562E"/>
    <w:rsid w:val="00EF659C"/>
    <w:rsid w:val="00EF661B"/>
    <w:rsid w:val="00F00196"/>
    <w:rsid w:val="00F002A3"/>
    <w:rsid w:val="00F00757"/>
    <w:rsid w:val="00F0095D"/>
    <w:rsid w:val="00F01BF0"/>
    <w:rsid w:val="00F01D0A"/>
    <w:rsid w:val="00F0210D"/>
    <w:rsid w:val="00F02483"/>
    <w:rsid w:val="00F0334E"/>
    <w:rsid w:val="00F03684"/>
    <w:rsid w:val="00F0397C"/>
    <w:rsid w:val="00F041CF"/>
    <w:rsid w:val="00F05A3A"/>
    <w:rsid w:val="00F05D35"/>
    <w:rsid w:val="00F06C98"/>
    <w:rsid w:val="00F11618"/>
    <w:rsid w:val="00F122EF"/>
    <w:rsid w:val="00F13D5C"/>
    <w:rsid w:val="00F15F1E"/>
    <w:rsid w:val="00F169D1"/>
    <w:rsid w:val="00F16A21"/>
    <w:rsid w:val="00F17B31"/>
    <w:rsid w:val="00F17E76"/>
    <w:rsid w:val="00F20160"/>
    <w:rsid w:val="00F20ABA"/>
    <w:rsid w:val="00F21E23"/>
    <w:rsid w:val="00F23115"/>
    <w:rsid w:val="00F24B26"/>
    <w:rsid w:val="00F24BAB"/>
    <w:rsid w:val="00F25568"/>
    <w:rsid w:val="00F25AE1"/>
    <w:rsid w:val="00F300B7"/>
    <w:rsid w:val="00F30B1B"/>
    <w:rsid w:val="00F31078"/>
    <w:rsid w:val="00F3173C"/>
    <w:rsid w:val="00F32FA9"/>
    <w:rsid w:val="00F35B07"/>
    <w:rsid w:val="00F35FCB"/>
    <w:rsid w:val="00F36B8B"/>
    <w:rsid w:val="00F37D90"/>
    <w:rsid w:val="00F37DB7"/>
    <w:rsid w:val="00F40919"/>
    <w:rsid w:val="00F40C99"/>
    <w:rsid w:val="00F40E3D"/>
    <w:rsid w:val="00F4144E"/>
    <w:rsid w:val="00F41590"/>
    <w:rsid w:val="00F41BB7"/>
    <w:rsid w:val="00F41E71"/>
    <w:rsid w:val="00F431FB"/>
    <w:rsid w:val="00F45126"/>
    <w:rsid w:val="00F453D5"/>
    <w:rsid w:val="00F4703E"/>
    <w:rsid w:val="00F47950"/>
    <w:rsid w:val="00F50F6F"/>
    <w:rsid w:val="00F51221"/>
    <w:rsid w:val="00F52A22"/>
    <w:rsid w:val="00F52B5E"/>
    <w:rsid w:val="00F52E46"/>
    <w:rsid w:val="00F533D0"/>
    <w:rsid w:val="00F5348E"/>
    <w:rsid w:val="00F534C6"/>
    <w:rsid w:val="00F55E1E"/>
    <w:rsid w:val="00F55E9C"/>
    <w:rsid w:val="00F56870"/>
    <w:rsid w:val="00F5754B"/>
    <w:rsid w:val="00F6012D"/>
    <w:rsid w:val="00F60519"/>
    <w:rsid w:val="00F61484"/>
    <w:rsid w:val="00F61719"/>
    <w:rsid w:val="00F628EC"/>
    <w:rsid w:val="00F6363A"/>
    <w:rsid w:val="00F648F2"/>
    <w:rsid w:val="00F64A8E"/>
    <w:rsid w:val="00F65AD4"/>
    <w:rsid w:val="00F6600C"/>
    <w:rsid w:val="00F667B4"/>
    <w:rsid w:val="00F675A7"/>
    <w:rsid w:val="00F702BB"/>
    <w:rsid w:val="00F70C5E"/>
    <w:rsid w:val="00F71095"/>
    <w:rsid w:val="00F7152F"/>
    <w:rsid w:val="00F7185F"/>
    <w:rsid w:val="00F720F3"/>
    <w:rsid w:val="00F7359D"/>
    <w:rsid w:val="00F73B6E"/>
    <w:rsid w:val="00F73D05"/>
    <w:rsid w:val="00F73E91"/>
    <w:rsid w:val="00F73F7E"/>
    <w:rsid w:val="00F74719"/>
    <w:rsid w:val="00F75112"/>
    <w:rsid w:val="00F75BDB"/>
    <w:rsid w:val="00F76A26"/>
    <w:rsid w:val="00F76D97"/>
    <w:rsid w:val="00F76E77"/>
    <w:rsid w:val="00F777CF"/>
    <w:rsid w:val="00F77949"/>
    <w:rsid w:val="00F7797F"/>
    <w:rsid w:val="00F80892"/>
    <w:rsid w:val="00F80BFC"/>
    <w:rsid w:val="00F80DB9"/>
    <w:rsid w:val="00F819AF"/>
    <w:rsid w:val="00F81AAC"/>
    <w:rsid w:val="00F81EE4"/>
    <w:rsid w:val="00F81F65"/>
    <w:rsid w:val="00F821B1"/>
    <w:rsid w:val="00F82E6D"/>
    <w:rsid w:val="00F8326F"/>
    <w:rsid w:val="00F83672"/>
    <w:rsid w:val="00F836AD"/>
    <w:rsid w:val="00F83796"/>
    <w:rsid w:val="00F83977"/>
    <w:rsid w:val="00F84BFB"/>
    <w:rsid w:val="00F84C39"/>
    <w:rsid w:val="00F851B5"/>
    <w:rsid w:val="00F85D96"/>
    <w:rsid w:val="00F86058"/>
    <w:rsid w:val="00F861D8"/>
    <w:rsid w:val="00F90018"/>
    <w:rsid w:val="00F908D2"/>
    <w:rsid w:val="00F90C2C"/>
    <w:rsid w:val="00F90FA3"/>
    <w:rsid w:val="00F9178D"/>
    <w:rsid w:val="00F9220C"/>
    <w:rsid w:val="00F938AE"/>
    <w:rsid w:val="00F93C0D"/>
    <w:rsid w:val="00F95071"/>
    <w:rsid w:val="00F96F3C"/>
    <w:rsid w:val="00F970BA"/>
    <w:rsid w:val="00F97303"/>
    <w:rsid w:val="00F97BA9"/>
    <w:rsid w:val="00FA01F7"/>
    <w:rsid w:val="00FA036B"/>
    <w:rsid w:val="00FA0740"/>
    <w:rsid w:val="00FA07C4"/>
    <w:rsid w:val="00FA0839"/>
    <w:rsid w:val="00FA2A57"/>
    <w:rsid w:val="00FA39AA"/>
    <w:rsid w:val="00FA51AD"/>
    <w:rsid w:val="00FA533D"/>
    <w:rsid w:val="00FA66E8"/>
    <w:rsid w:val="00FA7D9E"/>
    <w:rsid w:val="00FB01F9"/>
    <w:rsid w:val="00FB025F"/>
    <w:rsid w:val="00FB0A09"/>
    <w:rsid w:val="00FB2AC0"/>
    <w:rsid w:val="00FB321B"/>
    <w:rsid w:val="00FB3761"/>
    <w:rsid w:val="00FB3CED"/>
    <w:rsid w:val="00FB3F0A"/>
    <w:rsid w:val="00FB590E"/>
    <w:rsid w:val="00FB70F2"/>
    <w:rsid w:val="00FB7557"/>
    <w:rsid w:val="00FB7765"/>
    <w:rsid w:val="00FB7BD8"/>
    <w:rsid w:val="00FC0047"/>
    <w:rsid w:val="00FC0EC8"/>
    <w:rsid w:val="00FC108F"/>
    <w:rsid w:val="00FC1245"/>
    <w:rsid w:val="00FC1A87"/>
    <w:rsid w:val="00FC2582"/>
    <w:rsid w:val="00FC25B1"/>
    <w:rsid w:val="00FC3C7E"/>
    <w:rsid w:val="00FC47C2"/>
    <w:rsid w:val="00FC5FD3"/>
    <w:rsid w:val="00FC6C87"/>
    <w:rsid w:val="00FD08D7"/>
    <w:rsid w:val="00FD2363"/>
    <w:rsid w:val="00FD27CD"/>
    <w:rsid w:val="00FD2A47"/>
    <w:rsid w:val="00FD4D73"/>
    <w:rsid w:val="00FD565C"/>
    <w:rsid w:val="00FD5EF6"/>
    <w:rsid w:val="00FD6319"/>
    <w:rsid w:val="00FE0E25"/>
    <w:rsid w:val="00FE2C40"/>
    <w:rsid w:val="00FE351C"/>
    <w:rsid w:val="00FE3AE0"/>
    <w:rsid w:val="00FE69EE"/>
    <w:rsid w:val="00FE7620"/>
    <w:rsid w:val="00FF0D8E"/>
    <w:rsid w:val="00FF12B9"/>
    <w:rsid w:val="00FF1A1F"/>
    <w:rsid w:val="00FF4D3E"/>
    <w:rsid w:val="00FF5304"/>
    <w:rsid w:val="00FF5D30"/>
    <w:rsid w:val="00FF5E18"/>
    <w:rsid w:val="00FF7179"/>
    <w:rsid w:val="00FF7E14"/>
    <w:rsid w:val="01DF6B9E"/>
    <w:rsid w:val="02B52B50"/>
    <w:rsid w:val="046F1497"/>
    <w:rsid w:val="04AF42C9"/>
    <w:rsid w:val="05166188"/>
    <w:rsid w:val="051D10E6"/>
    <w:rsid w:val="05521280"/>
    <w:rsid w:val="06414828"/>
    <w:rsid w:val="09490F8D"/>
    <w:rsid w:val="0A5063B4"/>
    <w:rsid w:val="0BBE729A"/>
    <w:rsid w:val="0CCE5F15"/>
    <w:rsid w:val="0CF87C34"/>
    <w:rsid w:val="0D3A1F8D"/>
    <w:rsid w:val="0DBD1A4F"/>
    <w:rsid w:val="0E0B660A"/>
    <w:rsid w:val="0E4E4CEF"/>
    <w:rsid w:val="10031CFE"/>
    <w:rsid w:val="1095529C"/>
    <w:rsid w:val="10CB7487"/>
    <w:rsid w:val="126360FB"/>
    <w:rsid w:val="12A946ED"/>
    <w:rsid w:val="14860BF5"/>
    <w:rsid w:val="14F62D2E"/>
    <w:rsid w:val="154D3C95"/>
    <w:rsid w:val="16C44E11"/>
    <w:rsid w:val="16EE1696"/>
    <w:rsid w:val="1A526A04"/>
    <w:rsid w:val="1AD77F99"/>
    <w:rsid w:val="1BBC78DC"/>
    <w:rsid w:val="1D5032B3"/>
    <w:rsid w:val="1E4565C8"/>
    <w:rsid w:val="1F4C19EE"/>
    <w:rsid w:val="1F747C99"/>
    <w:rsid w:val="1FB11FFA"/>
    <w:rsid w:val="200643EC"/>
    <w:rsid w:val="21661D3D"/>
    <w:rsid w:val="21B926B3"/>
    <w:rsid w:val="21F570A5"/>
    <w:rsid w:val="23741470"/>
    <w:rsid w:val="239D628B"/>
    <w:rsid w:val="245E1708"/>
    <w:rsid w:val="25903D47"/>
    <w:rsid w:val="26722166"/>
    <w:rsid w:val="26B5779A"/>
    <w:rsid w:val="27D83818"/>
    <w:rsid w:val="283038AD"/>
    <w:rsid w:val="287B6705"/>
    <w:rsid w:val="28EE6149"/>
    <w:rsid w:val="292C5D7C"/>
    <w:rsid w:val="29D14BD2"/>
    <w:rsid w:val="2AE973F2"/>
    <w:rsid w:val="2BCD4B7F"/>
    <w:rsid w:val="2C3326CB"/>
    <w:rsid w:val="2C5C7A09"/>
    <w:rsid w:val="2D8E79FC"/>
    <w:rsid w:val="2E2C191F"/>
    <w:rsid w:val="2F785BE3"/>
    <w:rsid w:val="2FF96916"/>
    <w:rsid w:val="315D2B9D"/>
    <w:rsid w:val="32353D5D"/>
    <w:rsid w:val="33302DDA"/>
    <w:rsid w:val="333F0F32"/>
    <w:rsid w:val="335F3D63"/>
    <w:rsid w:val="34A646B7"/>
    <w:rsid w:val="35400D3D"/>
    <w:rsid w:val="35D17BD2"/>
    <w:rsid w:val="366C15FC"/>
    <w:rsid w:val="369E124C"/>
    <w:rsid w:val="3723049B"/>
    <w:rsid w:val="373E3BF3"/>
    <w:rsid w:val="38FB6F6A"/>
    <w:rsid w:val="39FE567C"/>
    <w:rsid w:val="3AA71ADA"/>
    <w:rsid w:val="3B2B7F9C"/>
    <w:rsid w:val="3B8D5374"/>
    <w:rsid w:val="3CA63809"/>
    <w:rsid w:val="3DA3436D"/>
    <w:rsid w:val="3DA728C0"/>
    <w:rsid w:val="3DC35179"/>
    <w:rsid w:val="3E0121DF"/>
    <w:rsid w:val="3E222800"/>
    <w:rsid w:val="3E343BDC"/>
    <w:rsid w:val="3F3A2468"/>
    <w:rsid w:val="3FD61C32"/>
    <w:rsid w:val="407871F3"/>
    <w:rsid w:val="40A1231B"/>
    <w:rsid w:val="42CD6402"/>
    <w:rsid w:val="43E2409D"/>
    <w:rsid w:val="443563E2"/>
    <w:rsid w:val="448A3BB0"/>
    <w:rsid w:val="44976C6B"/>
    <w:rsid w:val="47DB3F87"/>
    <w:rsid w:val="49240A40"/>
    <w:rsid w:val="4A175FE1"/>
    <w:rsid w:val="4AF75E82"/>
    <w:rsid w:val="4B1C129E"/>
    <w:rsid w:val="4B2A754D"/>
    <w:rsid w:val="4B5516B1"/>
    <w:rsid w:val="4BD47438"/>
    <w:rsid w:val="4C27304A"/>
    <w:rsid w:val="4C440C36"/>
    <w:rsid w:val="4C682F93"/>
    <w:rsid w:val="4DFD23A1"/>
    <w:rsid w:val="4F336FAD"/>
    <w:rsid w:val="50D3209D"/>
    <w:rsid w:val="52137BD4"/>
    <w:rsid w:val="52C03FAB"/>
    <w:rsid w:val="53452AD9"/>
    <w:rsid w:val="554D7776"/>
    <w:rsid w:val="559F51D6"/>
    <w:rsid w:val="55CE1AA5"/>
    <w:rsid w:val="562B67D4"/>
    <w:rsid w:val="56B6104E"/>
    <w:rsid w:val="56FC4A58"/>
    <w:rsid w:val="593B5C6D"/>
    <w:rsid w:val="5A3C1DB8"/>
    <w:rsid w:val="5B601BA9"/>
    <w:rsid w:val="5CBF4D74"/>
    <w:rsid w:val="5EA0372C"/>
    <w:rsid w:val="5EF208D4"/>
    <w:rsid w:val="5FAF4E6C"/>
    <w:rsid w:val="60892A35"/>
    <w:rsid w:val="617F1EF8"/>
    <w:rsid w:val="618079F6"/>
    <w:rsid w:val="624A48DC"/>
    <w:rsid w:val="63EA2292"/>
    <w:rsid w:val="64ED103F"/>
    <w:rsid w:val="64ED40D9"/>
    <w:rsid w:val="65191AEC"/>
    <w:rsid w:val="65E319FE"/>
    <w:rsid w:val="660A62BC"/>
    <w:rsid w:val="660F217F"/>
    <w:rsid w:val="66444F3D"/>
    <w:rsid w:val="66B52A2E"/>
    <w:rsid w:val="686D7262"/>
    <w:rsid w:val="69C63207"/>
    <w:rsid w:val="6A50604D"/>
    <w:rsid w:val="6AFE10F0"/>
    <w:rsid w:val="6B954DF2"/>
    <w:rsid w:val="6C3D22F7"/>
    <w:rsid w:val="6E485405"/>
    <w:rsid w:val="6E730327"/>
    <w:rsid w:val="6EB12F8C"/>
    <w:rsid w:val="6FA921E3"/>
    <w:rsid w:val="70CF4857"/>
    <w:rsid w:val="718557BD"/>
    <w:rsid w:val="723B1334"/>
    <w:rsid w:val="729266E1"/>
    <w:rsid w:val="73972525"/>
    <w:rsid w:val="73CC3EEA"/>
    <w:rsid w:val="74D763E3"/>
    <w:rsid w:val="75122E34"/>
    <w:rsid w:val="752744B4"/>
    <w:rsid w:val="75B42ECD"/>
    <w:rsid w:val="76FF268C"/>
    <w:rsid w:val="777F6627"/>
    <w:rsid w:val="77D22728"/>
    <w:rsid w:val="787C01B4"/>
    <w:rsid w:val="79DA0E14"/>
    <w:rsid w:val="7BF51AD1"/>
    <w:rsid w:val="7C5C3C6D"/>
    <w:rsid w:val="7CE52FE4"/>
    <w:rsid w:val="7D3E03DD"/>
    <w:rsid w:val="7E1D21B1"/>
    <w:rsid w:val="7F6F31BE"/>
    <w:rsid w:val="7F727B3E"/>
    <w:rsid w:val="7F9A3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utoSpaceDE w:val="0"/>
      <w:autoSpaceDN w:val="0"/>
      <w:adjustRightInd w:val="0"/>
      <w:spacing w:line="560" w:lineRule="atLeast"/>
      <w:ind w:firstLine="200" w:firstLineChars="200"/>
    </w:pPr>
    <w:rPr>
      <w:rFonts w:ascii="宋体" w:hAnsi="Calibri" w:eastAsia="仿宋_GB2312" w:cs="Times New Roman"/>
      <w:sz w:val="28"/>
      <w:szCs w:val="34"/>
      <w:lang w:val="zh-CN" w:eastAsia="zh-CN" w:bidi="ar-SA"/>
    </w:rPr>
  </w:style>
  <w:style w:type="paragraph" w:styleId="3">
    <w:name w:val="heading 1"/>
    <w:basedOn w:val="1"/>
    <w:next w:val="1"/>
    <w:link w:val="35"/>
    <w:qFormat/>
    <w:uiPriority w:val="9"/>
    <w:pPr>
      <w:keepNext/>
      <w:keepLines/>
      <w:autoSpaceDE/>
      <w:autoSpaceDN/>
      <w:adjustRightInd/>
      <w:spacing w:before="100" w:beforeAutospacing="1" w:after="100" w:afterAutospacing="1" w:line="240" w:lineRule="auto"/>
      <w:ind w:firstLine="0" w:firstLineChars="0"/>
      <w:jc w:val="both"/>
      <w:outlineLvl w:val="0"/>
    </w:pPr>
    <w:rPr>
      <w:rFonts w:ascii="Calibri" w:eastAsia="宋体"/>
      <w:b/>
      <w:bCs/>
      <w:kern w:val="44"/>
      <w:sz w:val="44"/>
      <w:szCs w:val="44"/>
      <w:lang w:val="en-US"/>
    </w:rPr>
  </w:style>
  <w:style w:type="paragraph" w:styleId="4">
    <w:name w:val="heading 2"/>
    <w:basedOn w:val="1"/>
    <w:next w:val="1"/>
    <w:link w:val="36"/>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5">
    <w:name w:val="heading 3"/>
    <w:basedOn w:val="1"/>
    <w:next w:val="1"/>
    <w:link w:val="37"/>
    <w:autoRedefine/>
    <w:semiHidden/>
    <w:unhideWhenUsed/>
    <w:qFormat/>
    <w:uiPriority w:val="9"/>
    <w:pPr>
      <w:keepNext/>
      <w:keepLines/>
      <w:spacing w:before="260" w:after="260" w:line="416" w:lineRule="atLeast"/>
      <w:outlineLvl w:val="2"/>
    </w:pPr>
    <w:rPr>
      <w:b/>
      <w:bCs/>
      <w:sz w:val="32"/>
      <w:szCs w:val="32"/>
    </w:rPr>
  </w:style>
  <w:style w:type="paragraph" w:styleId="6">
    <w:name w:val="heading 4"/>
    <w:basedOn w:val="1"/>
    <w:next w:val="1"/>
    <w:link w:val="64"/>
    <w:unhideWhenUsed/>
    <w:qFormat/>
    <w:uiPriority w:val="9"/>
    <w:pPr>
      <w:keepNext/>
      <w:keepLines/>
      <w:spacing w:before="280" w:after="290" w:line="376" w:lineRule="atLeast"/>
      <w:outlineLvl w:val="3"/>
    </w:pPr>
    <w:rPr>
      <w:rFonts w:asciiTheme="majorHAnsi" w:hAnsiTheme="majorHAnsi" w:eastAsiaTheme="majorEastAsia" w:cstheme="majorBidi"/>
      <w:b/>
      <w:bCs/>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table of authorities1"/>
    <w:basedOn w:val="1"/>
    <w:next w:val="1"/>
    <w:autoRedefine/>
    <w:qFormat/>
    <w:uiPriority w:val="0"/>
    <w:pPr>
      <w:ind w:left="420" w:leftChars="200"/>
    </w:pPr>
  </w:style>
  <w:style w:type="paragraph" w:styleId="7">
    <w:name w:val="toc 7"/>
    <w:basedOn w:val="1"/>
    <w:next w:val="1"/>
    <w:autoRedefine/>
    <w:unhideWhenUsed/>
    <w:qFormat/>
    <w:uiPriority w:val="39"/>
    <w:pPr>
      <w:autoSpaceDE/>
      <w:autoSpaceDN/>
      <w:adjustRightInd/>
      <w:spacing w:line="240" w:lineRule="auto"/>
      <w:ind w:left="2520" w:leftChars="1200" w:firstLine="0" w:firstLineChars="0"/>
      <w:jc w:val="both"/>
    </w:pPr>
    <w:rPr>
      <w:rFonts w:asciiTheme="minorHAnsi" w:hAnsiTheme="minorHAnsi" w:eastAsiaTheme="minorEastAsia" w:cstheme="minorBidi"/>
      <w:kern w:val="2"/>
      <w:sz w:val="21"/>
      <w:szCs w:val="22"/>
      <w:lang w:val="en-US"/>
    </w:rPr>
  </w:style>
  <w:style w:type="paragraph" w:styleId="8">
    <w:name w:val="caption"/>
    <w:basedOn w:val="1"/>
    <w:next w:val="1"/>
    <w:autoRedefine/>
    <w:unhideWhenUsed/>
    <w:qFormat/>
    <w:uiPriority w:val="35"/>
    <w:rPr>
      <w:rFonts w:eastAsia="黑体" w:asciiTheme="majorHAnsi" w:hAnsiTheme="majorHAnsi" w:cstheme="majorBidi"/>
      <w:sz w:val="20"/>
      <w:szCs w:val="20"/>
    </w:rPr>
  </w:style>
  <w:style w:type="paragraph" w:styleId="9">
    <w:name w:val="annotation text"/>
    <w:basedOn w:val="1"/>
    <w:link w:val="38"/>
    <w:semiHidden/>
    <w:unhideWhenUsed/>
    <w:qFormat/>
    <w:uiPriority w:val="99"/>
  </w:style>
  <w:style w:type="paragraph" w:styleId="10">
    <w:name w:val="Body Text"/>
    <w:basedOn w:val="1"/>
    <w:link w:val="39"/>
    <w:autoRedefine/>
    <w:semiHidden/>
    <w:unhideWhenUsed/>
    <w:qFormat/>
    <w:uiPriority w:val="99"/>
    <w:pPr>
      <w:spacing w:after="120"/>
    </w:pPr>
  </w:style>
  <w:style w:type="paragraph" w:styleId="11">
    <w:name w:val="Body Text Indent"/>
    <w:basedOn w:val="1"/>
    <w:link w:val="40"/>
    <w:autoRedefine/>
    <w:unhideWhenUsed/>
    <w:qFormat/>
    <w:uiPriority w:val="99"/>
    <w:pPr>
      <w:autoSpaceDE/>
      <w:autoSpaceDN/>
      <w:adjustRightInd/>
      <w:spacing w:after="120" w:line="240" w:lineRule="auto"/>
      <w:ind w:left="420" w:leftChars="200" w:firstLine="0" w:firstLineChars="0"/>
      <w:jc w:val="both"/>
    </w:pPr>
    <w:rPr>
      <w:rFonts w:ascii="Times New Roman" w:hAnsi="Times New Roman" w:eastAsia="宋体"/>
      <w:kern w:val="2"/>
      <w:szCs w:val="20"/>
      <w:lang w:val="en-US"/>
    </w:rPr>
  </w:style>
  <w:style w:type="paragraph" w:styleId="12">
    <w:name w:val="toc 5"/>
    <w:basedOn w:val="1"/>
    <w:next w:val="1"/>
    <w:autoRedefine/>
    <w:unhideWhenUsed/>
    <w:qFormat/>
    <w:uiPriority w:val="39"/>
    <w:pPr>
      <w:autoSpaceDE/>
      <w:autoSpaceDN/>
      <w:adjustRightInd/>
      <w:spacing w:line="240" w:lineRule="auto"/>
      <w:ind w:left="1680" w:leftChars="800" w:firstLine="0" w:firstLineChars="0"/>
      <w:jc w:val="both"/>
    </w:pPr>
    <w:rPr>
      <w:rFonts w:asciiTheme="minorHAnsi" w:hAnsiTheme="minorHAnsi" w:eastAsiaTheme="minorEastAsia" w:cstheme="minorBidi"/>
      <w:kern w:val="2"/>
      <w:sz w:val="21"/>
      <w:szCs w:val="22"/>
      <w:lang w:val="en-US"/>
    </w:rPr>
  </w:style>
  <w:style w:type="paragraph" w:styleId="13">
    <w:name w:val="toc 3"/>
    <w:basedOn w:val="1"/>
    <w:next w:val="1"/>
    <w:autoRedefine/>
    <w:unhideWhenUsed/>
    <w:qFormat/>
    <w:uiPriority w:val="39"/>
    <w:pPr>
      <w:widowControl/>
      <w:tabs>
        <w:tab w:val="right" w:leader="dot" w:pos="10244"/>
      </w:tabs>
      <w:autoSpaceDE/>
      <w:autoSpaceDN/>
      <w:adjustRightInd/>
      <w:spacing w:after="100" w:line="400" w:lineRule="exact"/>
      <w:ind w:left="442" w:firstLine="0" w:firstLineChars="0"/>
    </w:pPr>
    <w:rPr>
      <w:rFonts w:asciiTheme="minorHAnsi" w:hAnsiTheme="minorHAnsi" w:eastAsiaTheme="minorEastAsia" w:cstheme="minorBidi"/>
      <w:sz w:val="22"/>
      <w:szCs w:val="22"/>
      <w:lang w:val="en-US"/>
    </w:rPr>
  </w:style>
  <w:style w:type="paragraph" w:styleId="14">
    <w:name w:val="Plain Text"/>
    <w:basedOn w:val="1"/>
    <w:link w:val="41"/>
    <w:qFormat/>
    <w:uiPriority w:val="99"/>
    <w:pPr>
      <w:autoSpaceDE/>
      <w:autoSpaceDN/>
      <w:adjustRightInd/>
      <w:spacing w:line="240" w:lineRule="auto"/>
      <w:ind w:firstLine="0" w:firstLineChars="0"/>
      <w:jc w:val="both"/>
    </w:pPr>
    <w:rPr>
      <w:rFonts w:hAnsi="Courier New" w:eastAsia="宋体" w:cstheme="minorBidi"/>
      <w:kern w:val="2"/>
      <w:sz w:val="21"/>
      <w:szCs w:val="21"/>
      <w:lang w:val="en-US"/>
    </w:rPr>
  </w:style>
  <w:style w:type="paragraph" w:styleId="15">
    <w:name w:val="toc 8"/>
    <w:basedOn w:val="1"/>
    <w:next w:val="1"/>
    <w:autoRedefine/>
    <w:unhideWhenUsed/>
    <w:qFormat/>
    <w:uiPriority w:val="39"/>
    <w:pPr>
      <w:autoSpaceDE/>
      <w:autoSpaceDN/>
      <w:adjustRightInd/>
      <w:spacing w:line="240" w:lineRule="auto"/>
      <w:ind w:left="2940" w:leftChars="1400" w:firstLine="0" w:firstLineChars="0"/>
      <w:jc w:val="both"/>
    </w:pPr>
    <w:rPr>
      <w:rFonts w:asciiTheme="minorHAnsi" w:hAnsiTheme="minorHAnsi" w:eastAsiaTheme="minorEastAsia" w:cstheme="minorBidi"/>
      <w:kern w:val="2"/>
      <w:sz w:val="21"/>
      <w:szCs w:val="22"/>
      <w:lang w:val="en-US"/>
    </w:rPr>
  </w:style>
  <w:style w:type="paragraph" w:styleId="16">
    <w:name w:val="Date"/>
    <w:basedOn w:val="1"/>
    <w:next w:val="1"/>
    <w:link w:val="42"/>
    <w:autoRedefine/>
    <w:semiHidden/>
    <w:unhideWhenUsed/>
    <w:qFormat/>
    <w:uiPriority w:val="99"/>
    <w:pPr>
      <w:ind w:left="100" w:leftChars="2500"/>
    </w:pPr>
  </w:style>
  <w:style w:type="paragraph" w:styleId="17">
    <w:name w:val="Body Text Indent 2"/>
    <w:basedOn w:val="1"/>
    <w:link w:val="43"/>
    <w:autoRedefine/>
    <w:semiHidden/>
    <w:unhideWhenUsed/>
    <w:qFormat/>
    <w:uiPriority w:val="99"/>
    <w:pPr>
      <w:spacing w:after="120" w:line="480" w:lineRule="auto"/>
      <w:ind w:left="420" w:leftChars="200"/>
    </w:pPr>
  </w:style>
  <w:style w:type="paragraph" w:styleId="18">
    <w:name w:val="Balloon Text"/>
    <w:basedOn w:val="1"/>
    <w:link w:val="44"/>
    <w:autoRedefine/>
    <w:semiHidden/>
    <w:unhideWhenUsed/>
    <w:qFormat/>
    <w:uiPriority w:val="99"/>
    <w:pPr>
      <w:spacing w:line="240" w:lineRule="auto"/>
    </w:pPr>
    <w:rPr>
      <w:sz w:val="18"/>
      <w:szCs w:val="18"/>
    </w:rPr>
  </w:style>
  <w:style w:type="paragraph" w:styleId="19">
    <w:name w:val="footer"/>
    <w:basedOn w:val="1"/>
    <w:link w:val="45"/>
    <w:unhideWhenUsed/>
    <w:qFormat/>
    <w:uiPriority w:val="99"/>
    <w:pPr>
      <w:tabs>
        <w:tab w:val="center" w:pos="4153"/>
        <w:tab w:val="right" w:pos="8306"/>
      </w:tabs>
      <w:snapToGrid w:val="0"/>
    </w:pPr>
    <w:rPr>
      <w:sz w:val="18"/>
      <w:szCs w:val="18"/>
    </w:rPr>
  </w:style>
  <w:style w:type="paragraph" w:styleId="20">
    <w:name w:val="header"/>
    <w:basedOn w:val="1"/>
    <w:link w:val="4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widowControl/>
      <w:tabs>
        <w:tab w:val="right" w:leader="dot" w:pos="10244"/>
      </w:tabs>
      <w:autoSpaceDE/>
      <w:autoSpaceDN/>
      <w:adjustRightInd/>
      <w:spacing w:after="100" w:line="400" w:lineRule="exact"/>
      <w:ind w:firstLine="0" w:firstLineChars="0"/>
    </w:pPr>
    <w:rPr>
      <w:rFonts w:cs="黑体" w:asciiTheme="minorEastAsia" w:hAnsiTheme="minorEastAsia" w:eastAsiaTheme="minorEastAsia"/>
      <w:bCs/>
      <w:color w:val="000000" w:themeColor="text1"/>
      <w:szCs w:val="28"/>
      <w:shd w:val="pct10" w:color="auto" w:fill="FFFFFF"/>
      <w:lang w:val="en-US"/>
      <w14:textFill>
        <w14:solidFill>
          <w14:schemeClr w14:val="tx1"/>
        </w14:solidFill>
      </w14:textFill>
    </w:rPr>
  </w:style>
  <w:style w:type="paragraph" w:styleId="22">
    <w:name w:val="toc 4"/>
    <w:basedOn w:val="1"/>
    <w:next w:val="1"/>
    <w:autoRedefine/>
    <w:unhideWhenUsed/>
    <w:qFormat/>
    <w:uiPriority w:val="39"/>
    <w:pPr>
      <w:ind w:left="1260" w:leftChars="600"/>
    </w:pPr>
  </w:style>
  <w:style w:type="paragraph" w:styleId="23">
    <w:name w:val="toc 6"/>
    <w:basedOn w:val="1"/>
    <w:next w:val="1"/>
    <w:autoRedefine/>
    <w:unhideWhenUsed/>
    <w:qFormat/>
    <w:uiPriority w:val="39"/>
    <w:pPr>
      <w:autoSpaceDE/>
      <w:autoSpaceDN/>
      <w:adjustRightInd/>
      <w:spacing w:line="240" w:lineRule="auto"/>
      <w:ind w:left="2100" w:leftChars="1000" w:firstLine="0" w:firstLineChars="0"/>
      <w:jc w:val="both"/>
    </w:pPr>
    <w:rPr>
      <w:rFonts w:asciiTheme="minorHAnsi" w:hAnsiTheme="minorHAnsi" w:eastAsiaTheme="minorEastAsia" w:cstheme="minorBidi"/>
      <w:kern w:val="2"/>
      <w:sz w:val="21"/>
      <w:szCs w:val="22"/>
      <w:lang w:val="en-US"/>
    </w:rPr>
  </w:style>
  <w:style w:type="paragraph" w:styleId="24">
    <w:name w:val="toc 2"/>
    <w:basedOn w:val="1"/>
    <w:next w:val="1"/>
    <w:unhideWhenUsed/>
    <w:qFormat/>
    <w:uiPriority w:val="39"/>
    <w:pPr>
      <w:widowControl/>
      <w:tabs>
        <w:tab w:val="right" w:leader="dot" w:pos="10244"/>
      </w:tabs>
      <w:autoSpaceDE/>
      <w:autoSpaceDN/>
      <w:adjustRightInd/>
      <w:spacing w:after="100" w:line="400" w:lineRule="exact"/>
      <w:ind w:left="221" w:firstLine="0" w:firstLineChars="0"/>
    </w:pPr>
    <w:rPr>
      <w:rFonts w:asciiTheme="minorHAnsi" w:hAnsiTheme="minorHAnsi" w:eastAsiaTheme="minorEastAsia" w:cstheme="minorBidi"/>
      <w:sz w:val="22"/>
      <w:szCs w:val="22"/>
      <w:lang w:val="en-US"/>
    </w:rPr>
  </w:style>
  <w:style w:type="paragraph" w:styleId="25">
    <w:name w:val="toc 9"/>
    <w:basedOn w:val="1"/>
    <w:next w:val="1"/>
    <w:autoRedefine/>
    <w:unhideWhenUsed/>
    <w:qFormat/>
    <w:uiPriority w:val="39"/>
    <w:pPr>
      <w:autoSpaceDE/>
      <w:autoSpaceDN/>
      <w:adjustRightInd/>
      <w:spacing w:line="240" w:lineRule="auto"/>
      <w:ind w:left="3360" w:leftChars="1600" w:firstLine="0" w:firstLineChars="0"/>
      <w:jc w:val="both"/>
    </w:pPr>
    <w:rPr>
      <w:rFonts w:asciiTheme="minorHAnsi" w:hAnsiTheme="minorHAnsi" w:eastAsiaTheme="minorEastAsia" w:cstheme="minorBidi"/>
      <w:kern w:val="2"/>
      <w:sz w:val="21"/>
      <w:szCs w:val="22"/>
      <w:lang w:val="en-US"/>
    </w:rPr>
  </w:style>
  <w:style w:type="paragraph" w:styleId="26">
    <w:name w:val="Normal (Web)"/>
    <w:basedOn w:val="1"/>
    <w:unhideWhenUsed/>
    <w:qFormat/>
    <w:uiPriority w:val="0"/>
    <w:pPr>
      <w:widowControl/>
      <w:autoSpaceDE/>
      <w:autoSpaceDN/>
      <w:adjustRightInd/>
      <w:spacing w:before="100" w:beforeAutospacing="1" w:after="100" w:afterAutospacing="1" w:line="240" w:lineRule="auto"/>
      <w:ind w:firstLine="0" w:firstLineChars="0"/>
    </w:pPr>
    <w:rPr>
      <w:rFonts w:hAnsi="宋体" w:eastAsia="宋体" w:cs="宋体"/>
      <w:sz w:val="24"/>
      <w:szCs w:val="24"/>
      <w:lang w:val="en-US"/>
    </w:rPr>
  </w:style>
  <w:style w:type="paragraph" w:styleId="27">
    <w:name w:val="annotation subject"/>
    <w:basedOn w:val="9"/>
    <w:next w:val="9"/>
    <w:link w:val="47"/>
    <w:autoRedefine/>
    <w:semiHidden/>
    <w:unhideWhenUsed/>
    <w:qFormat/>
    <w:uiPriority w:val="99"/>
    <w:rPr>
      <w:b/>
      <w:bCs/>
    </w:rPr>
  </w:style>
  <w:style w:type="table" w:styleId="29">
    <w:name w:val="Table Grid"/>
    <w:basedOn w:val="28"/>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autoRedefine/>
    <w:qFormat/>
    <w:uiPriority w:val="0"/>
    <w:rPr>
      <w:b/>
      <w:bCs/>
    </w:rPr>
  </w:style>
  <w:style w:type="character" w:styleId="32">
    <w:name w:val="FollowedHyperlink"/>
    <w:basedOn w:val="30"/>
    <w:autoRedefine/>
    <w:semiHidden/>
    <w:unhideWhenUsed/>
    <w:qFormat/>
    <w:uiPriority w:val="99"/>
    <w:rPr>
      <w:color w:val="954F72" w:themeColor="followedHyperlink"/>
      <w:u w:val="single"/>
      <w14:textFill>
        <w14:solidFill>
          <w14:schemeClr w14:val="folHlink"/>
        </w14:solidFill>
      </w14:textFill>
    </w:rPr>
  </w:style>
  <w:style w:type="character" w:styleId="33">
    <w:name w:val="Hyperlink"/>
    <w:basedOn w:val="30"/>
    <w:autoRedefine/>
    <w:unhideWhenUsed/>
    <w:qFormat/>
    <w:uiPriority w:val="99"/>
    <w:rPr>
      <w:color w:val="0563C1" w:themeColor="hyperlink"/>
      <w:u w:val="single"/>
      <w14:textFill>
        <w14:solidFill>
          <w14:schemeClr w14:val="hlink"/>
        </w14:solidFill>
      </w14:textFill>
    </w:rPr>
  </w:style>
  <w:style w:type="character" w:styleId="34">
    <w:name w:val="annotation reference"/>
    <w:basedOn w:val="30"/>
    <w:autoRedefine/>
    <w:semiHidden/>
    <w:unhideWhenUsed/>
    <w:qFormat/>
    <w:uiPriority w:val="99"/>
    <w:rPr>
      <w:sz w:val="21"/>
      <w:szCs w:val="21"/>
    </w:rPr>
  </w:style>
  <w:style w:type="character" w:customStyle="1" w:styleId="35">
    <w:name w:val="标题 1 字符"/>
    <w:basedOn w:val="30"/>
    <w:link w:val="3"/>
    <w:autoRedefine/>
    <w:qFormat/>
    <w:uiPriority w:val="9"/>
    <w:rPr>
      <w:rFonts w:ascii="Calibri" w:hAnsi="Calibri"/>
      <w:b/>
      <w:bCs/>
      <w:kern w:val="44"/>
      <w:sz w:val="44"/>
      <w:szCs w:val="44"/>
    </w:rPr>
  </w:style>
  <w:style w:type="character" w:customStyle="1" w:styleId="36">
    <w:name w:val="标题 2 字符"/>
    <w:basedOn w:val="30"/>
    <w:link w:val="4"/>
    <w:qFormat/>
    <w:uiPriority w:val="9"/>
    <w:rPr>
      <w:rFonts w:asciiTheme="majorHAnsi" w:hAnsiTheme="majorHAnsi" w:eastAsiaTheme="majorEastAsia" w:cstheme="majorBidi"/>
      <w:b/>
      <w:bCs/>
      <w:kern w:val="0"/>
      <w:sz w:val="32"/>
      <w:szCs w:val="32"/>
      <w:lang w:val="zh-CN"/>
    </w:rPr>
  </w:style>
  <w:style w:type="character" w:customStyle="1" w:styleId="37">
    <w:name w:val="标题 3 字符"/>
    <w:basedOn w:val="30"/>
    <w:link w:val="5"/>
    <w:autoRedefine/>
    <w:semiHidden/>
    <w:qFormat/>
    <w:uiPriority w:val="9"/>
    <w:rPr>
      <w:rFonts w:ascii="宋体" w:hAnsi="Calibri" w:eastAsia="仿宋_GB2312" w:cs="Times New Roman"/>
      <w:b/>
      <w:bCs/>
      <w:kern w:val="0"/>
      <w:sz w:val="32"/>
      <w:szCs w:val="32"/>
      <w:lang w:val="zh-CN"/>
    </w:rPr>
  </w:style>
  <w:style w:type="character" w:customStyle="1" w:styleId="38">
    <w:name w:val="批注文字 字符"/>
    <w:basedOn w:val="30"/>
    <w:link w:val="9"/>
    <w:autoRedefine/>
    <w:semiHidden/>
    <w:qFormat/>
    <w:uiPriority w:val="99"/>
    <w:rPr>
      <w:rFonts w:ascii="宋体" w:hAnsi="Calibri" w:eastAsia="仿宋_GB2312" w:cs="Times New Roman"/>
      <w:sz w:val="28"/>
      <w:szCs w:val="34"/>
      <w:lang w:val="zh-CN"/>
    </w:rPr>
  </w:style>
  <w:style w:type="character" w:customStyle="1" w:styleId="39">
    <w:name w:val="正文文本 字符"/>
    <w:basedOn w:val="30"/>
    <w:link w:val="10"/>
    <w:autoRedefine/>
    <w:semiHidden/>
    <w:qFormat/>
    <w:uiPriority w:val="99"/>
    <w:rPr>
      <w:rFonts w:ascii="宋体" w:hAnsi="Calibri" w:eastAsia="仿宋_GB2312" w:cs="Times New Roman"/>
      <w:sz w:val="28"/>
      <w:szCs w:val="34"/>
      <w:lang w:val="zh-CN"/>
    </w:rPr>
  </w:style>
  <w:style w:type="character" w:customStyle="1" w:styleId="40">
    <w:name w:val="正文文本缩进 字符"/>
    <w:basedOn w:val="30"/>
    <w:link w:val="11"/>
    <w:qFormat/>
    <w:uiPriority w:val="99"/>
    <w:rPr>
      <w:rFonts w:ascii="Times New Roman" w:hAnsi="Times New Roman" w:eastAsia="宋体" w:cs="Times New Roman"/>
      <w:sz w:val="28"/>
      <w:szCs w:val="20"/>
    </w:rPr>
  </w:style>
  <w:style w:type="character" w:customStyle="1" w:styleId="41">
    <w:name w:val="纯文本 字符"/>
    <w:basedOn w:val="30"/>
    <w:link w:val="14"/>
    <w:qFormat/>
    <w:uiPriority w:val="99"/>
    <w:rPr>
      <w:rFonts w:ascii="宋体" w:hAnsi="Courier New" w:eastAsia="宋体"/>
      <w:kern w:val="2"/>
      <w:sz w:val="21"/>
      <w:szCs w:val="21"/>
    </w:rPr>
  </w:style>
  <w:style w:type="character" w:customStyle="1" w:styleId="42">
    <w:name w:val="日期 字符"/>
    <w:basedOn w:val="30"/>
    <w:link w:val="16"/>
    <w:semiHidden/>
    <w:qFormat/>
    <w:uiPriority w:val="99"/>
    <w:rPr>
      <w:rFonts w:ascii="宋体" w:hAnsi="Calibri" w:eastAsia="仿宋_GB2312"/>
      <w:sz w:val="28"/>
      <w:szCs w:val="34"/>
      <w:lang w:val="zh-CN"/>
    </w:rPr>
  </w:style>
  <w:style w:type="character" w:customStyle="1" w:styleId="43">
    <w:name w:val="正文文本缩进 2 字符"/>
    <w:basedOn w:val="30"/>
    <w:link w:val="17"/>
    <w:semiHidden/>
    <w:qFormat/>
    <w:uiPriority w:val="99"/>
    <w:rPr>
      <w:rFonts w:ascii="宋体" w:hAnsi="Calibri" w:eastAsia="仿宋_GB2312" w:cs="Times New Roman"/>
      <w:sz w:val="28"/>
      <w:szCs w:val="34"/>
      <w:lang w:val="zh-CN"/>
    </w:rPr>
  </w:style>
  <w:style w:type="character" w:customStyle="1" w:styleId="44">
    <w:name w:val="批注框文本 字符"/>
    <w:basedOn w:val="30"/>
    <w:link w:val="18"/>
    <w:semiHidden/>
    <w:qFormat/>
    <w:uiPriority w:val="99"/>
    <w:rPr>
      <w:rFonts w:ascii="宋体" w:hAnsi="Calibri" w:eastAsia="仿宋_GB2312" w:cs="Times New Roman"/>
      <w:kern w:val="0"/>
      <w:sz w:val="18"/>
      <w:szCs w:val="18"/>
      <w:lang w:val="zh-CN"/>
    </w:rPr>
  </w:style>
  <w:style w:type="character" w:customStyle="1" w:styleId="45">
    <w:name w:val="页脚 字符"/>
    <w:basedOn w:val="30"/>
    <w:link w:val="19"/>
    <w:autoRedefine/>
    <w:qFormat/>
    <w:uiPriority w:val="99"/>
    <w:rPr>
      <w:sz w:val="18"/>
      <w:szCs w:val="18"/>
    </w:rPr>
  </w:style>
  <w:style w:type="character" w:customStyle="1" w:styleId="46">
    <w:name w:val="页眉 字符"/>
    <w:basedOn w:val="30"/>
    <w:link w:val="20"/>
    <w:autoRedefine/>
    <w:qFormat/>
    <w:uiPriority w:val="99"/>
    <w:rPr>
      <w:sz w:val="18"/>
      <w:szCs w:val="18"/>
    </w:rPr>
  </w:style>
  <w:style w:type="character" w:customStyle="1" w:styleId="47">
    <w:name w:val="批注主题 字符"/>
    <w:basedOn w:val="38"/>
    <w:link w:val="27"/>
    <w:autoRedefine/>
    <w:semiHidden/>
    <w:qFormat/>
    <w:uiPriority w:val="99"/>
    <w:rPr>
      <w:rFonts w:ascii="宋体" w:hAnsi="Calibri" w:eastAsia="仿宋_GB2312" w:cs="Times New Roman"/>
      <w:b/>
      <w:bCs/>
      <w:sz w:val="28"/>
      <w:szCs w:val="34"/>
      <w:lang w:val="zh-CN"/>
    </w:rPr>
  </w:style>
  <w:style w:type="paragraph" w:customStyle="1" w:styleId="48">
    <w:name w:val="TOC 标题1"/>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49">
    <w:name w:val="未处理的提及1"/>
    <w:basedOn w:val="30"/>
    <w:autoRedefine/>
    <w:semiHidden/>
    <w:unhideWhenUsed/>
    <w:qFormat/>
    <w:uiPriority w:val="99"/>
    <w:rPr>
      <w:color w:val="605E5C"/>
      <w:shd w:val="clear" w:color="auto" w:fill="E1DFDD"/>
    </w:rPr>
  </w:style>
  <w:style w:type="table" w:customStyle="1" w:styleId="50">
    <w:name w:val="网格型1"/>
    <w:basedOn w:val="28"/>
    <w:autoRedefine/>
    <w:qFormat/>
    <w:uiPriority w:val="0"/>
    <w:pPr>
      <w:widowControl w:val="0"/>
      <w:autoSpaceDE w:val="0"/>
      <w:autoSpaceDN w:val="0"/>
      <w:adjustRightInd w:val="0"/>
      <w:spacing w:line="560" w:lineRule="atLeast"/>
      <w:ind w:firstLine="200"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1">
    <w:name w:val="*正文 Char"/>
    <w:link w:val="52"/>
    <w:autoRedefine/>
    <w:qFormat/>
    <w:uiPriority w:val="0"/>
    <w:rPr>
      <w:rFonts w:ascii="仿宋_GB2312" w:eastAsia="仿宋_GB2312"/>
      <w:sz w:val="24"/>
      <w:szCs w:val="28"/>
    </w:rPr>
  </w:style>
  <w:style w:type="paragraph" w:customStyle="1" w:styleId="52">
    <w:name w:val="*正文"/>
    <w:basedOn w:val="1"/>
    <w:link w:val="51"/>
    <w:autoRedefine/>
    <w:qFormat/>
    <w:uiPriority w:val="0"/>
    <w:pPr>
      <w:widowControl/>
      <w:autoSpaceDE/>
      <w:autoSpaceDN/>
      <w:adjustRightInd/>
      <w:spacing w:line="240" w:lineRule="auto"/>
      <w:jc w:val="both"/>
    </w:pPr>
    <w:rPr>
      <w:rFonts w:ascii="仿宋_GB2312" w:hAnsiTheme="minorHAnsi" w:cstheme="minorBidi"/>
      <w:sz w:val="24"/>
      <w:szCs w:val="28"/>
      <w:lang w:val="en-US"/>
    </w:rPr>
  </w:style>
  <w:style w:type="character" w:customStyle="1" w:styleId="53">
    <w:name w:val="未处理的提及2"/>
    <w:basedOn w:val="30"/>
    <w:autoRedefine/>
    <w:semiHidden/>
    <w:unhideWhenUsed/>
    <w:qFormat/>
    <w:uiPriority w:val="99"/>
    <w:rPr>
      <w:color w:val="605E5C"/>
      <w:shd w:val="clear" w:color="auto" w:fill="E1DFDD"/>
    </w:rPr>
  </w:style>
  <w:style w:type="paragraph" w:styleId="54">
    <w:name w:val="List Paragraph"/>
    <w:basedOn w:val="1"/>
    <w:autoRedefine/>
    <w:qFormat/>
    <w:uiPriority w:val="99"/>
    <w:pPr>
      <w:ind w:firstLine="420"/>
    </w:pPr>
  </w:style>
  <w:style w:type="paragraph" w:customStyle="1" w:styleId="55">
    <w:name w:val="列出段落1"/>
    <w:basedOn w:val="1"/>
    <w:autoRedefine/>
    <w:qFormat/>
    <w:uiPriority w:val="0"/>
    <w:pPr>
      <w:autoSpaceDE/>
      <w:autoSpaceDN/>
      <w:adjustRightInd/>
      <w:spacing w:line="240" w:lineRule="auto"/>
      <w:ind w:firstLine="420"/>
      <w:jc w:val="both"/>
    </w:pPr>
    <w:rPr>
      <w:rFonts w:ascii="Times New Roman" w:hAnsi="Times New Roman" w:eastAsia="宋体"/>
      <w:kern w:val="2"/>
      <w:sz w:val="21"/>
      <w:szCs w:val="24"/>
      <w:lang w:val="en-US"/>
    </w:rPr>
  </w:style>
  <w:style w:type="paragraph" w:styleId="5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修订1"/>
    <w:autoRedefine/>
    <w:hidden/>
    <w:semiHidden/>
    <w:qFormat/>
    <w:uiPriority w:val="99"/>
    <w:rPr>
      <w:rFonts w:ascii="宋体" w:hAnsi="Calibri" w:eastAsia="仿宋_GB2312" w:cs="Times New Roman"/>
      <w:sz w:val="28"/>
      <w:szCs w:val="34"/>
      <w:lang w:val="zh-CN" w:eastAsia="zh-CN" w:bidi="ar-SA"/>
    </w:rPr>
  </w:style>
  <w:style w:type="paragraph" w:customStyle="1" w:styleId="58">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9">
    <w:name w:val="comment-row-info-caption"/>
    <w:basedOn w:val="30"/>
    <w:qFormat/>
    <w:uiPriority w:val="0"/>
  </w:style>
  <w:style w:type="character" w:customStyle="1" w:styleId="60">
    <w:name w:val="comment-row-info-duration"/>
    <w:basedOn w:val="30"/>
    <w:autoRedefine/>
    <w:qFormat/>
    <w:uiPriority w:val="0"/>
  </w:style>
  <w:style w:type="character" w:customStyle="1" w:styleId="61">
    <w:name w:val="NormalCharacter"/>
    <w:autoRedefine/>
    <w:qFormat/>
    <w:uiPriority w:val="0"/>
  </w:style>
  <w:style w:type="paragraph" w:customStyle="1" w:styleId="62">
    <w:name w:val="ha3"/>
    <w:basedOn w:val="1"/>
    <w:autoRedefine/>
    <w:qFormat/>
    <w:uiPriority w:val="0"/>
    <w:pPr>
      <w:widowControl/>
      <w:autoSpaceDE/>
      <w:autoSpaceDN/>
      <w:adjustRightInd/>
      <w:spacing w:before="100" w:beforeAutospacing="1" w:after="100" w:afterAutospacing="1" w:line="240" w:lineRule="auto"/>
      <w:ind w:firstLine="0" w:firstLineChars="0"/>
    </w:pPr>
    <w:rPr>
      <w:rFonts w:hAnsi="宋体" w:eastAsia="宋体" w:cs="宋体"/>
      <w:sz w:val="24"/>
      <w:szCs w:val="24"/>
      <w:lang w:val="en-US"/>
    </w:rPr>
  </w:style>
  <w:style w:type="paragraph" w:customStyle="1" w:styleId="63">
    <w:name w:val="Char Char Char Char1 Char Char Char Char Char Char Char Char Char Char Char Char Char Char"/>
    <w:basedOn w:val="1"/>
    <w:autoRedefine/>
    <w:qFormat/>
    <w:uiPriority w:val="0"/>
    <w:pPr>
      <w:widowControl/>
      <w:autoSpaceDE/>
      <w:autoSpaceDN/>
      <w:adjustRightInd/>
      <w:spacing w:after="160" w:line="240" w:lineRule="exact"/>
      <w:ind w:firstLine="0" w:firstLineChars="0"/>
    </w:pPr>
    <w:rPr>
      <w:rFonts w:ascii="Verdana" w:hAnsi="Verdana" w:cs="Verdana"/>
      <w:sz w:val="24"/>
      <w:szCs w:val="21"/>
      <w:lang w:val="en-US" w:eastAsia="en-US"/>
    </w:rPr>
  </w:style>
  <w:style w:type="character" w:customStyle="1" w:styleId="64">
    <w:name w:val="标题 4 字符"/>
    <w:basedOn w:val="30"/>
    <w:link w:val="6"/>
    <w:autoRedefine/>
    <w:qFormat/>
    <w:uiPriority w:val="9"/>
    <w:rPr>
      <w:rFonts w:asciiTheme="majorHAnsi" w:hAnsiTheme="majorHAnsi" w:eastAsiaTheme="majorEastAsia" w:cstheme="majorBidi"/>
      <w:b/>
      <w:bCs/>
      <w:sz w:val="28"/>
      <w:szCs w:val="28"/>
      <w:lang w:val="zh-CN"/>
    </w:rPr>
  </w:style>
  <w:style w:type="paragraph" w:customStyle="1" w:styleId="65">
    <w:name w:val="WPSOffice手动目录 1"/>
    <w:autoRedefine/>
    <w:qFormat/>
    <w:uiPriority w:val="0"/>
    <w:rPr>
      <w:rFonts w:ascii="Times New Roman" w:hAnsi="Times New Roman" w:eastAsia="宋体" w:cs="Times New Roman"/>
      <w:lang w:val="en-US" w:eastAsia="zh-CN" w:bidi="ar-SA"/>
    </w:rPr>
  </w:style>
  <w:style w:type="paragraph" w:customStyle="1" w:styleId="66">
    <w:name w:val="WPSOffice手动目录 2"/>
    <w:autoRedefine/>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8DD3FF-06F4-4E9E-8C68-0F3F7F99580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4385</Words>
  <Characters>24997</Characters>
  <Lines>208</Lines>
  <Paragraphs>58</Paragraphs>
  <TotalTime>2</TotalTime>
  <ScaleCrop>false</ScaleCrop>
  <LinksUpToDate>false</LinksUpToDate>
  <CharactersWithSpaces>29324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2021-12-09T08:17:00Z</dcterms:created>
  <dc:creator>Administrator</dc:creator>
  <cp:lastModifiedBy>今夕是何年</cp:lastModifiedBy>
  <cp:lastPrinted>2021-12-09T08:18:00Z</cp:lastPrinted>
  <dcterms:modified xsi:type="dcterms:W3CDTF">2024-04-11T02:24:40Z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BEE5B99BC30046D4B817B2D210DC4752</vt:lpwstr>
  </property>
</Properties>
</file>