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ind w:firstLine="0" w:firstLineChars="0"/>
        <w:jc w:val="center"/>
        <w:rPr>
          <w:rFonts w:eastAsia="方正小标宋简体" w:cs="Times New Roman"/>
          <w:kern w:val="0"/>
          <w:sz w:val="36"/>
          <w:szCs w:val="36"/>
        </w:rPr>
      </w:pPr>
      <w:r>
        <w:rPr>
          <w:rFonts w:hint="eastAsia" w:eastAsia="方正小标宋简体" w:cs="Times New Roman"/>
          <w:kern w:val="0"/>
          <w:sz w:val="36"/>
          <w:szCs w:val="36"/>
        </w:rPr>
        <w:t>《滁州市国土空间生态修复规划（202</w:t>
      </w:r>
      <w:r>
        <w:rPr>
          <w:rFonts w:eastAsia="方正小标宋简体" w:cs="Times New Roman"/>
          <w:kern w:val="0"/>
          <w:sz w:val="36"/>
          <w:szCs w:val="36"/>
        </w:rPr>
        <w:t>2</w:t>
      </w:r>
      <w:r>
        <w:rPr>
          <w:rFonts w:hint="eastAsia" w:eastAsia="方正小标宋简体" w:cs="Times New Roman"/>
          <w:kern w:val="0"/>
          <w:sz w:val="36"/>
          <w:szCs w:val="36"/>
        </w:rPr>
        <w:t>-2035年）》</w:t>
      </w:r>
    </w:p>
    <w:p>
      <w:pPr>
        <w:widowControl/>
        <w:shd w:val="clear" w:color="auto" w:fill="FFFFFF"/>
        <w:spacing w:line="700" w:lineRule="exact"/>
        <w:ind w:firstLine="0" w:firstLineChars="0"/>
        <w:jc w:val="center"/>
        <w:rPr>
          <w:rFonts w:eastAsia="方正小标宋简体" w:cs="Times New Roman"/>
          <w:kern w:val="0"/>
          <w:szCs w:val="32"/>
        </w:rPr>
      </w:pPr>
      <w:r>
        <w:rPr>
          <w:rFonts w:hint="eastAsia" w:eastAsia="方正小标宋简体" w:cs="Times New Roman"/>
          <w:kern w:val="0"/>
          <w:szCs w:val="32"/>
        </w:rPr>
        <w:t>规划编制说明</w:t>
      </w:r>
    </w:p>
    <w:p>
      <w:pPr>
        <w:spacing w:line="240" w:lineRule="auto"/>
        <w:ind w:firstLine="640"/>
        <w:jc w:val="left"/>
        <w:rPr>
          <w:rFonts w:hAnsi="黑体" w:eastAsia="黑体" w:cs="Times New Roman"/>
          <w:szCs w:val="32"/>
        </w:rPr>
      </w:pPr>
    </w:p>
    <w:p>
      <w:pPr>
        <w:spacing w:line="240" w:lineRule="auto"/>
        <w:ind w:firstLine="640"/>
        <w:jc w:val="left"/>
        <w:rPr>
          <w:rFonts w:hAnsi="黑体" w:eastAsia="黑体" w:cs="Times New Roman"/>
          <w:szCs w:val="32"/>
        </w:rPr>
      </w:pPr>
      <w:r>
        <w:rPr>
          <w:rFonts w:hint="eastAsia" w:hAnsi="黑体" w:eastAsia="黑体" w:cs="Times New Roman"/>
          <w:szCs w:val="32"/>
        </w:rPr>
        <w:t>一、</w:t>
      </w:r>
      <w:r>
        <w:rPr>
          <w:rFonts w:hint="eastAsia" w:ascii="黑体" w:hAnsi="黑体" w:eastAsia="黑体"/>
          <w:szCs w:val="32"/>
        </w:rPr>
        <w:t>背景依据及起草过程</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国土空间生态修复是我国生态文明建设的重大举措，是关系国家生态安全和民生福祉的重要国家战略任务。为深入贯彻习近平生态文明思想，践行“绿水青山就是金山银山”的理念，统筹山水林田湖草系统治理，认真落实《全国重要生态系统保护和修复重大工程总体规划（2021-2035年）》《安徽省国土空间生态修复规划（2021-2035年）》《安徽省自然资源厅关于开展市、县级国土空间生态修复规划编制工作的通知》等文件精神和规划要求，</w:t>
      </w:r>
      <w:r>
        <w:rPr>
          <w:rFonts w:hint="eastAsia" w:ascii="仿宋_GB2312" w:hAnsi="仿宋" w:cs="仿宋"/>
          <w:szCs w:val="32"/>
        </w:rPr>
        <w:t>滁州市自然资源和规划局组织编制了</w:t>
      </w:r>
      <w:r>
        <w:rPr>
          <w:rFonts w:hint="eastAsia"/>
          <w:color w:val="000000" w:themeColor="text1"/>
          <w14:textFill>
            <w14:solidFill>
              <w14:schemeClr w14:val="tx1"/>
            </w14:solidFill>
          </w14:textFill>
        </w:rPr>
        <w:t>《滁州市国土空间生态修复规划（202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-2035年）》（以下简称《规划》）。</w:t>
      </w:r>
    </w:p>
    <w:p>
      <w:pPr>
        <w:spacing w:line="560" w:lineRule="exact"/>
        <w:ind w:firstLine="640"/>
        <w:rPr>
          <w:rFonts w:cs="Times New Roman"/>
        </w:rPr>
      </w:pPr>
      <w:r>
        <w:rPr>
          <w:rFonts w:hint="eastAsia" w:cs="Times New Roman"/>
        </w:rPr>
        <w:t>整个</w:t>
      </w:r>
      <w:r>
        <w:rPr>
          <w:rFonts w:cs="Times New Roman"/>
        </w:rPr>
        <w:t>《规划》编制工作</w:t>
      </w:r>
      <w:r>
        <w:rPr>
          <w:rFonts w:hint="eastAsia" w:cs="Times New Roman"/>
        </w:rPr>
        <w:t>历程</w:t>
      </w:r>
      <w:r>
        <w:rPr>
          <w:rFonts w:cs="Times New Roman"/>
        </w:rPr>
        <w:t>主要分为</w:t>
      </w:r>
      <w:r>
        <w:rPr>
          <w:rFonts w:hint="eastAsia" w:cs="Times New Roman"/>
        </w:rPr>
        <w:t>三</w:t>
      </w:r>
      <w:r>
        <w:rPr>
          <w:rFonts w:cs="Times New Roman"/>
        </w:rPr>
        <w:t>个阶段</w:t>
      </w:r>
      <w:r>
        <w:rPr>
          <w:rFonts w:hint="eastAsia" w:cs="Times New Roman"/>
        </w:rPr>
        <w:t>：</w:t>
      </w:r>
    </w:p>
    <w:p>
      <w:pPr>
        <w:spacing w:line="560" w:lineRule="exact"/>
        <w:ind w:firstLine="640"/>
        <w:rPr>
          <w:rFonts w:cs="Times New Roman"/>
        </w:rPr>
      </w:pPr>
      <w:r>
        <w:rPr>
          <w:rFonts w:cs="Times New Roman"/>
        </w:rPr>
        <w:t>第一阶段：</w:t>
      </w:r>
      <w:r>
        <w:rPr>
          <w:rFonts w:hint="eastAsia" w:cs="Times New Roman"/>
        </w:rPr>
        <w:t>成立</w:t>
      </w:r>
      <w:r>
        <w:rPr>
          <w:rFonts w:cs="Times New Roman"/>
        </w:rPr>
        <w:t>领导组织（202</w:t>
      </w:r>
      <w:r>
        <w:rPr>
          <w:rFonts w:hint="eastAsia" w:cs="Times New Roman"/>
        </w:rPr>
        <w:t>1</w:t>
      </w:r>
      <w:r>
        <w:rPr>
          <w:rFonts w:cs="Times New Roman"/>
        </w:rPr>
        <w:t>年</w:t>
      </w:r>
      <w:r>
        <w:rPr>
          <w:rFonts w:hint="eastAsia" w:cs="Times New Roman"/>
        </w:rPr>
        <w:t>3</w:t>
      </w:r>
      <w:r>
        <w:rPr>
          <w:rFonts w:cs="Times New Roman"/>
        </w:rPr>
        <w:t>月～202</w:t>
      </w:r>
      <w:r>
        <w:rPr>
          <w:rFonts w:hint="eastAsia" w:cs="Times New Roman"/>
        </w:rPr>
        <w:t>2</w:t>
      </w:r>
      <w:r>
        <w:rPr>
          <w:rFonts w:cs="Times New Roman"/>
        </w:rPr>
        <w:t>年</w:t>
      </w:r>
      <w:r>
        <w:rPr>
          <w:rFonts w:hint="eastAsia" w:cs="Times New Roman"/>
        </w:rPr>
        <w:t>12</w:t>
      </w:r>
      <w:r>
        <w:rPr>
          <w:rFonts w:cs="Times New Roman"/>
        </w:rPr>
        <w:t>月）。拟定工作方案</w:t>
      </w:r>
      <w:r>
        <w:rPr>
          <w:rFonts w:hint="eastAsia" w:cs="Times New Roman"/>
        </w:rPr>
        <w:t>，</w:t>
      </w:r>
      <w:r>
        <w:rPr>
          <w:rFonts w:cs="Times New Roman"/>
        </w:rPr>
        <w:t>成立国土空间规划编制领导小组，公开招标确定技术服务单位。</w:t>
      </w:r>
    </w:p>
    <w:p>
      <w:pPr>
        <w:ind w:firstLine="640"/>
        <w:rPr>
          <w:rFonts w:cs="Times New Roman"/>
        </w:rPr>
      </w:pPr>
      <w:r>
        <w:rPr>
          <w:rFonts w:cs="Times New Roman"/>
        </w:rPr>
        <w:t>第二阶段：开展前期研究（202</w:t>
      </w:r>
      <w:r>
        <w:rPr>
          <w:rFonts w:hint="eastAsia" w:cs="Times New Roman"/>
        </w:rPr>
        <w:t>2</w:t>
      </w:r>
      <w:r>
        <w:rPr>
          <w:rFonts w:cs="Times New Roman"/>
        </w:rPr>
        <w:t>年</w:t>
      </w:r>
      <w:r>
        <w:rPr>
          <w:rFonts w:hint="eastAsia" w:cs="Times New Roman"/>
        </w:rPr>
        <w:t>12</w:t>
      </w:r>
      <w:r>
        <w:rPr>
          <w:rFonts w:cs="Times New Roman"/>
        </w:rPr>
        <w:t>月～202</w:t>
      </w:r>
      <w:r>
        <w:rPr>
          <w:rFonts w:hint="eastAsia" w:cs="Times New Roman"/>
        </w:rPr>
        <w:t>3</w:t>
      </w:r>
      <w:r>
        <w:rPr>
          <w:rFonts w:cs="Times New Roman"/>
        </w:rPr>
        <w:t>年</w:t>
      </w:r>
      <w:r>
        <w:rPr>
          <w:rFonts w:hint="eastAsia" w:cs="Times New Roman"/>
        </w:rPr>
        <w:t>6</w:t>
      </w:r>
      <w:r>
        <w:rPr>
          <w:rFonts w:cs="Times New Roman"/>
        </w:rPr>
        <w:t>月）</w:t>
      </w:r>
      <w:r>
        <w:t>。主要完成</w:t>
      </w:r>
      <w:r>
        <w:rPr>
          <w:rFonts w:hint="eastAsia"/>
        </w:rPr>
        <w:t>滁州市典型生态系统功能评价与格局专题研究报告、矿山生态环境综合治理研究、流域水生态系统保护与修复研究、乡村及耕地生态系统保护与修复研究等</w:t>
      </w:r>
      <w:r>
        <w:t>4项</w:t>
      </w:r>
      <w:r>
        <w:rPr>
          <w:rFonts w:hint="eastAsia"/>
        </w:rPr>
        <w:t>专题研究工作。</w:t>
      </w:r>
    </w:p>
    <w:p>
      <w:pPr>
        <w:spacing w:line="560" w:lineRule="exact"/>
        <w:ind w:firstLine="640"/>
        <w:rPr>
          <w:rFonts w:cs="Times New Roman"/>
        </w:rPr>
      </w:pPr>
      <w:r>
        <w:rPr>
          <w:rFonts w:cs="Times New Roman"/>
        </w:rPr>
        <w:t>第三阶段：</w:t>
      </w:r>
      <w:r>
        <w:rPr>
          <w:rFonts w:hint="eastAsia" w:cs="Times New Roman"/>
        </w:rPr>
        <w:t>规划成果编制</w:t>
      </w:r>
      <w:r>
        <w:rPr>
          <w:rFonts w:cs="Times New Roman"/>
        </w:rPr>
        <w:t>（202</w:t>
      </w:r>
      <w:r>
        <w:rPr>
          <w:rFonts w:hint="eastAsia" w:cs="Times New Roman"/>
        </w:rPr>
        <w:t>3</w:t>
      </w:r>
      <w:r>
        <w:rPr>
          <w:rFonts w:cs="Times New Roman"/>
        </w:rPr>
        <w:t>年</w:t>
      </w:r>
      <w:r>
        <w:rPr>
          <w:rFonts w:hint="eastAsia" w:cs="Times New Roman"/>
        </w:rPr>
        <w:t>7</w:t>
      </w:r>
      <w:r>
        <w:rPr>
          <w:rFonts w:cs="Times New Roman"/>
        </w:rPr>
        <w:t>月～2023年</w:t>
      </w:r>
      <w:r>
        <w:rPr>
          <w:rFonts w:hint="eastAsia" w:cs="Times New Roman"/>
        </w:rPr>
        <w:t>11</w:t>
      </w:r>
      <w:r>
        <w:rPr>
          <w:rFonts w:cs="Times New Roman"/>
        </w:rPr>
        <w:t>月）。</w:t>
      </w:r>
      <w:r>
        <w:rPr>
          <w:rFonts w:hint="eastAsia"/>
          <w:color w:val="000000" w:themeColor="text1"/>
          <w14:textFill>
            <w14:solidFill>
              <w14:schemeClr w14:val="tx1"/>
            </w14:solidFill>
          </w14:textFill>
        </w:rPr>
        <w:t>充分落实《滁州市国民经济和社会发展第十四个五年规划和2</w:t>
      </w:r>
      <w:r>
        <w:rPr>
          <w:color w:val="000000" w:themeColor="text1"/>
          <w14:textFill>
            <w14:solidFill>
              <w14:schemeClr w14:val="tx1"/>
            </w14:solidFill>
          </w14:textFill>
        </w:rPr>
        <w:t>035</w:t>
      </w:r>
      <w:r>
        <w:rPr>
          <w:rFonts w:hint="eastAsia" w:ascii="仿宋_GB2312" w:hAnsi="仿宋_GB2312" w:cs="仿宋_GB2312"/>
          <w:color w:val="000000" w:themeColor="text1"/>
          <w14:textFill>
            <w14:solidFill>
              <w14:schemeClr w14:val="tx1"/>
            </w14:solidFill>
          </w14:textFill>
        </w:rPr>
        <w:t>年远景目标纲</w:t>
      </w:r>
      <w:r>
        <w:rPr>
          <w:rFonts w:hint="eastAsia"/>
          <w:color w:val="000000" w:themeColor="text1"/>
          <w14:textFill>
            <w14:solidFill>
              <w14:schemeClr w14:val="tx1"/>
            </w14:solidFill>
          </w14:textFill>
        </w:rPr>
        <w:t>要》《滁州市国土空间总体规划（2021-2035年）》，</w:t>
      </w:r>
      <w:r>
        <w:rPr>
          <w:rFonts w:cs="Times New Roman"/>
        </w:rPr>
        <w:t>根据安徽省</w:t>
      </w:r>
      <w:r>
        <w:rPr>
          <w:rFonts w:hint="eastAsia" w:cs="Times New Roman"/>
        </w:rPr>
        <w:t>自然资源厅印发的</w:t>
      </w:r>
      <w:r>
        <w:rPr>
          <w:rFonts w:cs="Times New Roman"/>
        </w:rPr>
        <w:t>《</w:t>
      </w:r>
      <w:r>
        <w:rPr>
          <w:rFonts w:hint="eastAsia" w:cs="Times New Roman"/>
        </w:rPr>
        <w:t>市、县级</w:t>
      </w:r>
      <w:r>
        <w:rPr>
          <w:rFonts w:cs="Times New Roman"/>
        </w:rPr>
        <w:t>国土空间</w:t>
      </w:r>
      <w:r>
        <w:rPr>
          <w:rFonts w:hint="eastAsia" w:cs="Times New Roman"/>
        </w:rPr>
        <w:t>生态修复</w:t>
      </w:r>
      <w:r>
        <w:rPr>
          <w:rFonts w:cs="Times New Roman"/>
        </w:rPr>
        <w:t>规划编制指南（试行）》编制形成《规划》（征求意见稿）。</w:t>
      </w:r>
    </w:p>
    <w:p>
      <w:pPr>
        <w:spacing w:line="240" w:lineRule="auto"/>
        <w:ind w:firstLine="640"/>
        <w:jc w:val="left"/>
        <w:rPr>
          <w:rFonts w:hAnsi="黑体" w:eastAsia="黑体" w:cs="Times New Roman"/>
          <w:szCs w:val="32"/>
        </w:rPr>
      </w:pPr>
      <w:r>
        <w:rPr>
          <w:rFonts w:hint="eastAsia" w:hAnsi="黑体" w:eastAsia="黑体" w:cs="Times New Roman"/>
          <w:szCs w:val="32"/>
        </w:rPr>
        <w:t>二、规划编制主要内容</w:t>
      </w:r>
    </w:p>
    <w:p>
      <w:pPr>
        <w:ind w:firstLine="643"/>
        <w:rPr>
          <w:rFonts w:ascii="楷体" w:hAnsi="楷体" w:eastAsia="楷体" w:cs="楷体"/>
          <w:b/>
          <w:bCs/>
        </w:rPr>
      </w:pPr>
      <w:r>
        <w:rPr>
          <w:rFonts w:hint="eastAsia" w:ascii="楷体" w:hAnsi="楷体" w:eastAsia="楷体" w:cs="楷体"/>
          <w:b/>
          <w:bCs/>
        </w:rPr>
        <w:t>（一）指导思想</w:t>
      </w:r>
    </w:p>
    <w:p>
      <w:pPr>
        <w:ind w:firstLine="640"/>
      </w:pPr>
      <w:r>
        <w:rPr>
          <w:rFonts w:hint="eastAsia"/>
        </w:rPr>
        <w:t>以习近平新时代中国特色社会主义思想为指导，全面贯彻落实党的二十大精神，紧紧围绕统筹推进“五位一体”总体布局和协调推进“四个全面”战略布局，全面落实党中央、国务院关于统筹推进山水林田湖草整体保护系统修复和综合治理的部署，牢固树立绿水青山就是金山银山的理念。坚持人与自然和谐共生，坚持以人民为中心，按照保证生态安全、突出生态功能、兼顾生态景观的次序，通过问题导向、规划导向、行动导向，统筹山水林田湖草修复的系统工作，助力滁州建设山水城相融的人居典范城市，实现高质量发展。</w:t>
      </w:r>
    </w:p>
    <w:p>
      <w:pPr>
        <w:numPr>
          <w:ilvl w:val="0"/>
          <w:numId w:val="1"/>
        </w:numPr>
        <w:ind w:firstLine="643"/>
        <w:rPr>
          <w:rFonts w:ascii="楷体" w:hAnsi="楷体" w:eastAsia="楷体" w:cs="楷体"/>
          <w:b/>
          <w:bCs/>
        </w:rPr>
      </w:pPr>
      <w:r>
        <w:rPr>
          <w:rFonts w:hint="eastAsia" w:ascii="楷体" w:hAnsi="楷体" w:eastAsia="楷体" w:cs="楷体"/>
          <w:b/>
          <w:bCs/>
        </w:rPr>
        <w:t>规划目标</w:t>
      </w:r>
    </w:p>
    <w:p>
      <w:pPr>
        <w:ind w:firstLine="640"/>
      </w:pPr>
      <w:r>
        <w:rPr>
          <w:rFonts w:hint="eastAsia"/>
        </w:rPr>
        <w:t>深入贯彻落实习近平生态文明思想，牢筑“江淮分水岭”在江淮地区重要生态地位，按照“一岭三脉多廊多点”生态建设总体布局，提升生态系统稳定性和自我修复能力，提高生态产品供给能力，建立可持续的生态产品价值实现机制。提升统筹山水林田湖草系统治理现代化水平，服务生态文明建设和高质量发展，改善城乡人居环境，建设“山水人文相融的人居典范城市”，促进构建“和谐、安全、高效、协同、美丽”的国土空间。</w:t>
      </w:r>
    </w:p>
    <w:p>
      <w:pPr>
        <w:ind w:firstLine="643"/>
        <w:rPr>
          <w:rFonts w:ascii="楷体" w:hAnsi="楷体" w:eastAsia="楷体" w:cs="楷体"/>
          <w:b/>
          <w:bCs/>
        </w:rPr>
      </w:pPr>
      <w:r>
        <w:rPr>
          <w:rFonts w:hint="eastAsia" w:ascii="楷体" w:hAnsi="楷体" w:eastAsia="楷体" w:cs="楷体"/>
          <w:b/>
          <w:bCs/>
        </w:rPr>
        <w:t>（三）主要内容</w:t>
      </w:r>
    </w:p>
    <w:p>
      <w:pPr>
        <w:ind w:firstLine="640"/>
      </w:pPr>
      <w:r>
        <w:rPr>
          <w:rFonts w:hint="eastAsia"/>
        </w:rPr>
        <w:t>一是面临形势。包括：形势与要求、生态修复工作成效、机遇与挑战。</w:t>
      </w:r>
    </w:p>
    <w:p>
      <w:pPr>
        <w:ind w:firstLine="640"/>
      </w:pPr>
      <w:r>
        <w:rPr>
          <w:rFonts w:hint="eastAsia"/>
        </w:rPr>
        <w:t>二是生态问题与评价。包括：自然地理和生态现状、主要问题识别、综合评判。</w:t>
      </w:r>
    </w:p>
    <w:p>
      <w:pPr>
        <w:ind w:firstLine="640"/>
      </w:pPr>
      <w:r>
        <w:rPr>
          <w:rFonts w:hint="eastAsia"/>
        </w:rPr>
        <w:t>三是总体要求与规划目标。包括：指导思想、基本原则、规划目标、指标体系、规划策略。</w:t>
      </w:r>
    </w:p>
    <w:p>
      <w:pPr>
        <w:ind w:firstLine="640"/>
      </w:pPr>
      <w:r>
        <w:rPr>
          <w:rFonts w:hint="eastAsia"/>
        </w:rPr>
        <w:t>四是国土空间生态修复总体布局。包括：生态保护修复格局、生态修复分区、生态修复重点区域。</w:t>
      </w:r>
    </w:p>
    <w:p>
      <w:pPr>
        <w:ind w:firstLine="640"/>
      </w:pPr>
      <w:r>
        <w:rPr>
          <w:rFonts w:hint="eastAsia"/>
        </w:rPr>
        <w:t>五是主要任务和重大工程。包括：生态空间生态系统修复重大工程、农业空间生态系统修复重大工程、城镇空间生态系统修复重大工程。</w:t>
      </w:r>
    </w:p>
    <w:p>
      <w:pPr>
        <w:ind w:firstLine="640"/>
        <w:rPr>
          <w:color w:val="000000" w:themeColor="text1"/>
          <w14:textFill>
            <w14:solidFill>
              <w14:schemeClr w14:val="tx1"/>
            </w14:solidFill>
          </w14:textFill>
        </w:rPr>
      </w:pPr>
      <w:r>
        <w:rPr>
          <w:rFonts w:hint="eastAsia"/>
        </w:rPr>
        <w:t>六是投资估算。包括：投资测算、综合效益分析</w:t>
      </w:r>
      <w:r>
        <w:rPr>
          <w:rFonts w:hint="eastAsia"/>
          <w:color w:val="000000" w:themeColor="text1"/>
          <w14:textFill>
            <w14:solidFill>
              <w14:schemeClr w14:val="tx1"/>
            </w14:solidFill>
          </w14:textFill>
        </w:rPr>
        <w:t>。</w:t>
      </w:r>
    </w:p>
    <w:p>
      <w:pPr>
        <w:ind w:firstLine="640"/>
        <w:rPr>
          <w:rFonts w:hint="eastAsia"/>
        </w:rPr>
      </w:pPr>
      <w:r>
        <w:rPr>
          <w:rFonts w:hint="eastAsia"/>
        </w:rPr>
        <w:t>七是实施保障措施。包括：组织保障、制度保障、技术保障、资金保障、评估监督、公众参与。</w:t>
      </w:r>
    </w:p>
    <w:p>
      <w:pPr>
        <w:ind w:firstLine="640"/>
        <w:rPr>
          <w:rFonts w:hint="eastAsia" w:ascii="Times New Roman" w:hAnsi="Times New Roman" w:eastAsia="仿宋_GB2312" w:cstheme="minorBidi"/>
          <w:color w:val="000000" w:themeColor="text1"/>
          <w:kern w:val="2"/>
          <w:sz w:val="32"/>
          <w:szCs w:val="22"/>
          <w:lang w:val="en-US" w:eastAsia="zh-CN" w:bidi="ar-SA"/>
          <w14:textFill>
            <w14:solidFill>
              <w14:schemeClr w14:val="tx1"/>
            </w14:solidFill>
          </w14:textFill>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485547"/>
    </w:sdtPr>
    <w:sdtContent>
      <w:p>
        <w:pPr>
          <w:pStyle w:val="5"/>
          <w:ind w:firstLine="360"/>
          <w:jc w:val="center"/>
        </w:pPr>
        <w:r>
          <w:fldChar w:fldCharType="begin"/>
        </w:r>
        <w:r>
          <w:instrText xml:space="preserve">PAGE   \* MERGEFORMAT</w:instrText>
        </w:r>
        <w:r>
          <w:fldChar w:fldCharType="separate"/>
        </w:r>
        <w:r>
          <w:rPr>
            <w:lang w:val="zh-CN"/>
          </w:rPr>
          <w:t>3</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DDB51"/>
    <w:multiLevelType w:val="singleLevel"/>
    <w:tmpl w:val="38CDDB5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zMwODgzMzhjOTIwYmVmMzViN2VlMjNhNDFlOTgifQ=="/>
  </w:docVars>
  <w:rsids>
    <w:rsidRoot w:val="00862776"/>
    <w:rsid w:val="00000574"/>
    <w:rsid w:val="00027735"/>
    <w:rsid w:val="000547A7"/>
    <w:rsid w:val="000720CA"/>
    <w:rsid w:val="00085B84"/>
    <w:rsid w:val="000A3AEE"/>
    <w:rsid w:val="000A48D6"/>
    <w:rsid w:val="00124879"/>
    <w:rsid w:val="00176417"/>
    <w:rsid w:val="00180850"/>
    <w:rsid w:val="0019767A"/>
    <w:rsid w:val="001A449F"/>
    <w:rsid w:val="001B1F81"/>
    <w:rsid w:val="001F6E88"/>
    <w:rsid w:val="0021295F"/>
    <w:rsid w:val="00277691"/>
    <w:rsid w:val="002948CE"/>
    <w:rsid w:val="002E5838"/>
    <w:rsid w:val="003346F1"/>
    <w:rsid w:val="00357755"/>
    <w:rsid w:val="00362EAE"/>
    <w:rsid w:val="003C1261"/>
    <w:rsid w:val="003D1AEC"/>
    <w:rsid w:val="00411F61"/>
    <w:rsid w:val="00490A43"/>
    <w:rsid w:val="004A2718"/>
    <w:rsid w:val="004A3F54"/>
    <w:rsid w:val="004B3F6C"/>
    <w:rsid w:val="004D600F"/>
    <w:rsid w:val="004E6AD7"/>
    <w:rsid w:val="005059A5"/>
    <w:rsid w:val="005374D3"/>
    <w:rsid w:val="005577E2"/>
    <w:rsid w:val="0056623B"/>
    <w:rsid w:val="005765C4"/>
    <w:rsid w:val="00581621"/>
    <w:rsid w:val="0058331F"/>
    <w:rsid w:val="005915A1"/>
    <w:rsid w:val="00595F86"/>
    <w:rsid w:val="005C69D2"/>
    <w:rsid w:val="005D3792"/>
    <w:rsid w:val="006422BF"/>
    <w:rsid w:val="00657763"/>
    <w:rsid w:val="00666C2B"/>
    <w:rsid w:val="006E0470"/>
    <w:rsid w:val="00731E42"/>
    <w:rsid w:val="0073502F"/>
    <w:rsid w:val="007612AB"/>
    <w:rsid w:val="007903CB"/>
    <w:rsid w:val="0079109A"/>
    <w:rsid w:val="007B2E85"/>
    <w:rsid w:val="007C7B72"/>
    <w:rsid w:val="00806290"/>
    <w:rsid w:val="008311E4"/>
    <w:rsid w:val="008437ED"/>
    <w:rsid w:val="00847957"/>
    <w:rsid w:val="00862776"/>
    <w:rsid w:val="00883013"/>
    <w:rsid w:val="0088783D"/>
    <w:rsid w:val="009064A2"/>
    <w:rsid w:val="00912540"/>
    <w:rsid w:val="009170B9"/>
    <w:rsid w:val="00931639"/>
    <w:rsid w:val="00942470"/>
    <w:rsid w:val="009458B0"/>
    <w:rsid w:val="00951134"/>
    <w:rsid w:val="00976917"/>
    <w:rsid w:val="00A40B0C"/>
    <w:rsid w:val="00A51574"/>
    <w:rsid w:val="00A539C5"/>
    <w:rsid w:val="00A9481D"/>
    <w:rsid w:val="00AA29DB"/>
    <w:rsid w:val="00AB0E1A"/>
    <w:rsid w:val="00AB1737"/>
    <w:rsid w:val="00AD0FB5"/>
    <w:rsid w:val="00AF18FE"/>
    <w:rsid w:val="00B44BC0"/>
    <w:rsid w:val="00B67ED3"/>
    <w:rsid w:val="00BC5330"/>
    <w:rsid w:val="00C70CE9"/>
    <w:rsid w:val="00CA2485"/>
    <w:rsid w:val="00CB6BA7"/>
    <w:rsid w:val="00CC062D"/>
    <w:rsid w:val="00CC67D6"/>
    <w:rsid w:val="00D257D2"/>
    <w:rsid w:val="00D533FB"/>
    <w:rsid w:val="00DB49A0"/>
    <w:rsid w:val="00DB7C5F"/>
    <w:rsid w:val="00DE6FD7"/>
    <w:rsid w:val="00E0180A"/>
    <w:rsid w:val="00E0695B"/>
    <w:rsid w:val="00E111A1"/>
    <w:rsid w:val="00E57595"/>
    <w:rsid w:val="00E815BA"/>
    <w:rsid w:val="00EE6F65"/>
    <w:rsid w:val="00F04F52"/>
    <w:rsid w:val="00F25E4A"/>
    <w:rsid w:val="00F77959"/>
    <w:rsid w:val="00FD00D5"/>
    <w:rsid w:val="00FE3E61"/>
    <w:rsid w:val="26485289"/>
    <w:rsid w:val="26B7240F"/>
    <w:rsid w:val="2DF6381D"/>
    <w:rsid w:val="3862042D"/>
    <w:rsid w:val="48F14EB5"/>
    <w:rsid w:val="4FFA0AF3"/>
    <w:rsid w:val="5C8A31FF"/>
    <w:rsid w:val="6B4A5FCC"/>
    <w:rsid w:val="7B160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2"/>
    <w:basedOn w:val="1"/>
    <w:next w:val="1"/>
    <w:link w:val="15"/>
    <w:unhideWhenUsed/>
    <w:qFormat/>
    <w:uiPriority w:val="9"/>
    <w:pPr>
      <w:keepNext/>
      <w:keepLines/>
      <w:spacing w:before="260" w:after="260" w:line="415" w:lineRule="auto"/>
      <w:ind w:firstLine="0" w:firstLineChars="0"/>
      <w:jc w:val="center"/>
      <w:outlineLvl w:val="1"/>
    </w:pPr>
    <w:rPr>
      <w:rFonts w:eastAsia="楷体_GB2312" w:asciiTheme="majorHAnsi" w:hAnsiTheme="majorHAnsi" w:cstheme="majorBidi"/>
      <w:b/>
      <w:bCs/>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semiHidden/>
    <w:unhideWhenUsed/>
    <w:uiPriority w:val="99"/>
    <w:pPr>
      <w:widowControl/>
      <w:jc w:val="left"/>
    </w:pPr>
    <w:rPr>
      <w:kern w:val="0"/>
    </w:rPr>
  </w:style>
  <w:style w:type="paragraph" w:styleId="4">
    <w:name w:val="Balloon Text"/>
    <w:basedOn w:val="1"/>
    <w:link w:val="16"/>
    <w:semiHidden/>
    <w:unhideWhenUsed/>
    <w:uiPriority w:val="99"/>
    <w:pPr>
      <w:spacing w:line="240" w:lineRule="auto"/>
    </w:pPr>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semiHidden/>
    <w:unhideWhenUsed/>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pPr>
  </w:style>
  <w:style w:type="character" w:customStyle="1" w:styleId="14">
    <w:name w:val="批注文字 字符"/>
    <w:basedOn w:val="9"/>
    <w:link w:val="3"/>
    <w:semiHidden/>
    <w:uiPriority w:val="99"/>
    <w:rPr>
      <w:rFonts w:ascii="Times New Roman" w:hAnsi="Times New Roman" w:eastAsia="仿宋_GB2312"/>
      <w:kern w:val="0"/>
      <w:sz w:val="32"/>
    </w:rPr>
  </w:style>
  <w:style w:type="character" w:customStyle="1" w:styleId="15">
    <w:name w:val="标题 2 字符"/>
    <w:basedOn w:val="9"/>
    <w:link w:val="2"/>
    <w:uiPriority w:val="9"/>
    <w:rPr>
      <w:rFonts w:eastAsia="楷体_GB2312" w:asciiTheme="majorHAnsi" w:hAnsiTheme="majorHAnsi" w:cstheme="majorBidi"/>
      <w:b/>
      <w:bCs/>
      <w:sz w:val="32"/>
      <w:szCs w:val="32"/>
    </w:rPr>
  </w:style>
  <w:style w:type="character" w:customStyle="1" w:styleId="16">
    <w:name w:val="批注框文本 字符"/>
    <w:basedOn w:val="9"/>
    <w:link w:val="4"/>
    <w:semiHidden/>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1715</Characters>
  <Lines>9</Lines>
  <Paragraphs>2</Paragraphs>
  <TotalTime>66</TotalTime>
  <ScaleCrop>false</ScaleCrop>
  <LinksUpToDate>false</LinksUpToDate>
  <CharactersWithSpaces>1715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2023-06-13T02:28:00Z</dcterms:created>
  <dc:creator>Administrator</dc:creator>
  <cp:lastModifiedBy>胖丁</cp:lastModifiedBy>
  <dcterms:modified xsi:type="dcterms:W3CDTF">2023-11-29T09:29:34Z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9C0A27E1EAA24CED947BE61E2B8F5A8A_12</vt:lpwstr>
  </property>
</Properties>
</file>